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8.xml" ContentType="application/vnd.openxmlformats-officedocument.wordprocessingml.header+xml"/>
  <Override PartName="/word/header7.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media/image1.jpeg" ContentType="image/jpeg"/>
  <Override PartName="/word/header5.xml" ContentType="application/vnd.openxmlformats-officedocument.wordprocessingml.header+xml"/>
  <Override PartName="/word/_rels/document.xml.rels" ContentType="application/vnd.openxmlformats-package.relationships+xml"/>
  <Override PartName="/word/header6.xml" ContentType="application/vnd.openxmlformats-officedocument.wordprocessingml.header+xml"/>
  <Override PartName="/word/numbering.xml" ContentType="application/vnd.openxmlformats-officedocument.wordprocessingml.numbering+xml"/>
  <Override PartName="/word/header9.xml" ContentType="application/vnd.openxmlformats-officedocument.wordprocessingml.header+xml"/>
  <Override PartName="/word/header12.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header11.xml" ContentType="application/vnd.openxmlformats-officedocument.wordprocessingml.header+xml"/>
  <Override PartName="/word/header10.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widowControl/>
        <w:jc w:val="end"/>
        <w:rPr>
          <w:b/>
          <w:i/>
          <w:i/>
          <w:color w:val="FF0000"/>
          <w:sz w:val="22"/>
        </w:rPr>
      </w:pPr>
      <w:r>
        <w:rPr>
          <w:b/>
          <w:i/>
          <w:color w:val="FF0000"/>
          <w:sz w:val="22"/>
        </w:rPr>
      </w:r>
    </w:p>
    <w:p>
      <w:pPr>
        <w:pStyle w:val="Normal"/>
        <w:widowControl/>
        <w:tabs>
          <w:tab w:val="clear" w:pos="720"/>
          <w:tab w:val="left" w:pos="1289" w:leader="none"/>
        </w:tabs>
        <w:rPr/>
      </w:pPr>
      <w:r>
        <w:rPr/>
        <w:drawing>
          <wp:inline distT="0" distB="0" distL="0" distR="0">
            <wp:extent cx="272415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2724150" cy="1190625"/>
                    </a:xfrm>
                    <a:prstGeom prst="rect">
                      <a:avLst/>
                    </a:prstGeom>
                    <a:noFill/>
                  </pic:spPr>
                </pic:pic>
              </a:graphicData>
            </a:graphic>
          </wp:inline>
        </w:drawing>
      </w:r>
      <w:r>
        <w:rPr/>
        <w:tab/>
      </w:r>
    </w:p>
    <w:p>
      <w:pPr>
        <w:pStyle w:val="Normal"/>
        <w:widowControl/>
        <w:jc w:val="end"/>
        <w:rPr>
          <w:b/>
          <w:i/>
          <w:i/>
          <w:color w:val="FF0000"/>
          <w:sz w:val="26"/>
        </w:rPr>
      </w:pPr>
      <w:r>
        <w:rPr>
          <w:b/>
          <w:i/>
          <w:color w:val="FF0000"/>
          <w:sz w:val="26"/>
        </w:rPr>
      </w:r>
    </w:p>
    <w:p>
      <w:pPr>
        <w:pStyle w:val="Normal"/>
        <w:widowControl/>
        <w:jc w:val="end"/>
        <w:rPr>
          <w:b/>
          <w:i/>
          <w:i/>
          <w:color w:val="FF0000"/>
          <w:sz w:val="26"/>
        </w:rPr>
      </w:pPr>
      <w:r>
        <w:rPr>
          <w:b/>
          <w:i/>
          <w:color w:val="FF0000"/>
          <w:sz w:val="26"/>
        </w:rPr>
      </w:r>
    </w:p>
    <w:p>
      <w:pPr>
        <w:pStyle w:val="Normal"/>
        <w:widowControl/>
        <w:jc w:val="end"/>
        <w:rPr>
          <w:b/>
          <w:i/>
          <w:i/>
          <w:color w:val="FF0000"/>
          <w:sz w:val="26"/>
        </w:rPr>
      </w:pPr>
      <w:r>
        <w:rPr>
          <w:b/>
          <w:i/>
          <w:color w:val="FF0000"/>
          <w:sz w:val="26"/>
        </w:rPr>
      </w:r>
    </w:p>
    <w:p>
      <w:pPr>
        <w:pStyle w:val="Normal"/>
        <w:widowControl/>
        <w:jc w:val="end"/>
        <w:rPr>
          <w:b/>
          <w:i/>
          <w:i/>
          <w:color w:val="FF0000"/>
          <w:sz w:val="26"/>
        </w:rPr>
      </w:pPr>
      <w:r>
        <w:rPr>
          <w:b/>
          <w:i/>
          <w:color w:val="FF0000"/>
          <w:sz w:val="26"/>
        </w:rPr>
      </w:r>
    </w:p>
    <w:p>
      <w:pPr>
        <w:pStyle w:val="Normal"/>
        <w:widowControl/>
        <w:jc w:val="end"/>
        <w:rPr>
          <w:b/>
          <w:i/>
          <w:i/>
          <w:color w:val="FF0000"/>
          <w:sz w:val="26"/>
        </w:rPr>
      </w:pPr>
      <w:r>
        <w:rPr>
          <w:b/>
          <w:i/>
          <w:color w:val="FF0000"/>
          <w:sz w:val="26"/>
        </w:rPr>
      </w:r>
    </w:p>
    <w:p>
      <w:pPr>
        <w:pStyle w:val="Normal"/>
        <w:widowControl/>
        <w:jc w:val="center"/>
        <w:rPr/>
      </w:pPr>
      <w:r>
        <w:rPr/>
      </w:r>
    </w:p>
    <w:p>
      <w:pPr>
        <w:pStyle w:val="Normal"/>
        <w:widowControl/>
        <w:jc w:val="center"/>
        <w:rPr/>
      </w:pPr>
      <w:r>
        <w:rPr/>
      </w:r>
    </w:p>
    <w:p>
      <w:pPr>
        <w:pStyle w:val="Normal"/>
        <w:widowControl/>
        <w:jc w:val="center"/>
        <w:rPr>
          <w:b/>
        </w:rPr>
      </w:pPr>
      <w:r>
        <w:rPr>
          <w:b/>
        </w:rPr>
        <w:t>ДОКУМЕНТАЦИЯ О ПРОВЕДЕНИИ</w:t>
      </w:r>
    </w:p>
    <w:p>
      <w:pPr>
        <w:pStyle w:val="Normal"/>
        <w:widowControl/>
        <w:jc w:val="center"/>
        <w:rPr>
          <w:b/>
        </w:rPr>
      </w:pPr>
      <w:r>
        <w:rPr>
          <w:b/>
        </w:rPr>
        <w:t xml:space="preserve">ОТКРЫТОГО ЗАПРОСА ЦЕН </w:t>
      </w:r>
    </w:p>
    <w:p>
      <w:pPr>
        <w:pStyle w:val="Normal"/>
        <w:widowControl/>
        <w:jc w:val="center"/>
        <w:rPr>
          <w:b/>
        </w:rPr>
      </w:pPr>
      <w:r>
        <w:rPr>
          <w:b/>
        </w:rPr>
      </w:r>
    </w:p>
    <w:p>
      <w:pPr>
        <w:pStyle w:val="Normal"/>
        <w:widowControl/>
        <w:jc w:val="center"/>
        <w:rPr>
          <w:b/>
        </w:rPr>
      </w:pPr>
      <w:r>
        <w:rPr>
          <w:b/>
        </w:rPr>
      </w:r>
    </w:p>
    <w:p>
      <w:pPr>
        <w:pStyle w:val="Normal"/>
        <w:widowControl/>
        <w:jc w:val="center"/>
        <w:rPr>
          <w:b/>
        </w:rPr>
      </w:pPr>
      <w:r>
        <w:rPr>
          <w:b/>
        </w:rPr>
      </w:r>
    </w:p>
    <w:p>
      <w:pPr>
        <w:pStyle w:val="Normal"/>
        <w:widowControl/>
        <w:jc w:val="center"/>
        <w:rPr>
          <w:i/>
          <w:i/>
          <w:color w:val="FF0000"/>
          <w:sz w:val="22"/>
        </w:rPr>
      </w:pPr>
      <w:r>
        <w:rPr>
          <w:b/>
        </w:rPr>
        <w:t>в электронной форме на право заключения договора</w:t>
      </w:r>
    </w:p>
    <w:p>
      <w:pPr>
        <w:pStyle w:val="rvps11"/>
        <w:widowControl/>
        <w:spacing w:lineRule="auto" w:line="360"/>
        <w:rPr>
          <w:b/>
        </w:rPr>
      </w:pPr>
      <w:r>
        <w:rPr>
          <w:b/>
        </w:rPr>
      </w:r>
    </w:p>
    <w:p>
      <w:pPr>
        <w:pStyle w:val="Normal"/>
        <w:widowControl/>
        <w:jc w:val="center"/>
        <w:rPr>
          <w:rFonts w:ascii="Times New Roman" w:hAnsi="Times New Roman"/>
          <w:b/>
          <w:sz w:val="24"/>
        </w:rPr>
      </w:pPr>
      <w:r>
        <w:rPr>
          <w:rFonts w:ascii="Times New Roman" w:hAnsi="Times New Roman"/>
          <w:b/>
          <w:sz w:val="24"/>
        </w:rPr>
        <w:t xml:space="preserve">на </w:t>
      </w:r>
      <w:r>
        <w:rPr>
          <w:rFonts w:ascii="Times New Roman" w:hAnsi="Times New Roman"/>
          <w:b/>
          <w:i w:val="false"/>
          <w:strike w:val="false"/>
          <w:dstrike w:val="false"/>
          <w:shadow w:val="false"/>
          <w:color w:val="000000"/>
          <w:sz w:val="24"/>
          <w:u w:val="none"/>
        </w:rPr>
        <w:t>Предоставление права использования программного обеспечения «ДОРИС Контроль»</w:t>
      </w:r>
    </w:p>
    <w:p>
      <w:pPr>
        <w:pStyle w:val="Normal"/>
        <w:widowControl/>
        <w:jc w:val="center"/>
        <w:rPr>
          <w:sz w:val="26"/>
          <w:u w:val="single"/>
        </w:rPr>
      </w:pPr>
      <w:r>
        <w:rPr>
          <w:sz w:val="26"/>
          <w:u w:val="single"/>
        </w:rPr>
      </w:r>
    </w:p>
    <w:p>
      <w:pPr>
        <w:pStyle w:val="Normal"/>
        <w:widowControl/>
        <w:jc w:val="center"/>
        <w:rPr>
          <w:sz w:val="26"/>
        </w:rPr>
      </w:pPr>
      <w:r>
        <w:rPr>
          <w:sz w:val="26"/>
        </w:rPr>
      </w:r>
    </w:p>
    <w:p>
      <w:pPr>
        <w:pStyle w:val="Normal"/>
        <w:widowControl/>
        <w:jc w:val="center"/>
        <w:rPr>
          <w:i/>
          <w:i/>
          <w:sz w:val="26"/>
        </w:rPr>
      </w:pPr>
      <w:r>
        <w:rPr>
          <w:i/>
          <w:sz w:val="26"/>
        </w:rPr>
      </w:r>
    </w:p>
    <w:p>
      <w:pPr>
        <w:pStyle w:val="Default1"/>
        <w:widowControl/>
        <w:ind w:hanging="0" w:start="3686" w:end="0"/>
        <w:rPr/>
      </w:pPr>
      <w:r>
        <w:rPr/>
      </w:r>
    </w:p>
    <w:p>
      <w:pPr>
        <w:pStyle w:val="Default1"/>
        <w:widowControl/>
        <w:ind w:hanging="0" w:start="3686" w:end="0"/>
        <w:rPr/>
      </w:pPr>
      <w:r>
        <w:rPr/>
        <w:t>Документация о проведении открытого запроса цен размещена:</w:t>
      </w:r>
    </w:p>
    <w:p>
      <w:pPr>
        <w:pStyle w:val="Normal"/>
        <w:widowControl/>
        <w:spacing w:lineRule="auto" w:line="240" w:before="0" w:after="0"/>
        <w:ind w:hanging="0" w:start="3686" w:end="0"/>
        <w:rPr/>
      </w:pPr>
      <w:r>
        <w:rPr/>
        <w:t>на электронной торговой площадке: https://tender.lot-online.ru</w:t>
      </w:r>
    </w:p>
    <w:p>
      <w:pPr>
        <w:pStyle w:val="Normal"/>
        <w:widowControl/>
        <w:spacing w:lineRule="auto" w:line="240" w:before="0" w:after="0"/>
        <w:ind w:hanging="0" w:start="3686" w:end="0"/>
        <w:rPr/>
      </w:pPr>
      <w:r>
        <w:rPr/>
        <w:t xml:space="preserve">на сайте ПАО «Ростелеком»: </w:t>
      </w:r>
      <w:hyperlink r:id="rId3">
        <w:r>
          <w:rPr>
            <w:rStyle w:val="Style4"/>
          </w:rPr>
          <w:t>https://www.company.rt.ru/</w:t>
        </w:r>
      </w:hyperlink>
    </w:p>
    <w:p>
      <w:pPr>
        <w:pStyle w:val="rvps11"/>
        <w:widowControl/>
        <w:ind w:hanging="0" w:start="3686" w:end="0"/>
        <w:rPr/>
      </w:pPr>
      <w:r>
        <w:rPr/>
      </w:r>
    </w:p>
    <w:p>
      <w:pPr>
        <w:pStyle w:val="rvps11"/>
        <w:widowControl/>
        <w:ind w:hanging="0" w:start="3686" w:end="0"/>
        <w:rPr/>
      </w:pPr>
      <w:r>
        <w:rPr/>
      </w:r>
    </w:p>
    <w:p>
      <w:pPr>
        <w:pStyle w:val="rvps11"/>
        <w:widowControl/>
        <w:ind w:hanging="0" w:start="3686" w:end="0"/>
        <w:rPr/>
      </w:pPr>
      <w:r>
        <w:rPr/>
        <w:t xml:space="preserve">Дата размещения: </w:t>
      </w:r>
      <w:r>
        <w:rPr/>
        <w:t>в ред. № 2 от 04.02.2026</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111"/>
        <w:keepNext w:val="false"/>
        <w:widowControl/>
        <w:rPr>
          <w:b/>
        </w:rPr>
      </w:pPr>
      <w:r>
        <w:rPr>
          <w:b/>
        </w:rPr>
        <w:t>2026</w:t>
      </w:r>
    </w:p>
    <w:p>
      <w:pPr>
        <w:pStyle w:val="Normal"/>
        <w:rPr/>
      </w:pPr>
      <w:r>
        <w:rPr/>
      </w:r>
      <w:r>
        <w:br w:type="page"/>
      </w:r>
    </w:p>
    <w:p>
      <w:pPr>
        <w:pStyle w:val="rvps11"/>
        <w:widowControl/>
        <w:spacing w:before="0" w:after="0"/>
        <w:rPr/>
      </w:pPr>
      <w:r>
        <w:rPr/>
      </w:r>
    </w:p>
    <w:p>
      <w:pPr>
        <w:pStyle w:val="Normal"/>
        <w:widowControl/>
        <w:jc w:val="center"/>
        <w:rPr>
          <w:b/>
          <w:sz w:val="26"/>
        </w:rPr>
      </w:pPr>
      <w:r>
        <w:rPr>
          <w:b/>
          <w:sz w:val="26"/>
        </w:rPr>
        <w:t>Содержание</w:t>
      </w:r>
    </w:p>
    <w:sdt>
      <w:sdtPr>
        <w:docPartObj>
          <w:docPartGallery w:val="Table of Contents"/>
          <w:docPartUnique w:val="true"/>
        </w:docPartObj>
      </w:sdtPr>
      <w:sdtContent>
        <w:p>
          <w:pPr>
            <w:pStyle w:val="TOC1"/>
            <w:tabs>
              <w:tab w:val="clear" w:pos="720"/>
              <w:tab w:val="right" w:pos="9865" w:leader="dot"/>
            </w:tabs>
            <w:rPr/>
          </w:pPr>
          <w:r>
            <w:fldChar w:fldCharType="begin"/>
          </w:r>
          <w:r>
            <w:rPr>
              <w:webHidden/>
              <w:rStyle w:val="Style9"/>
            </w:rPr>
            <w:instrText xml:space="preserve"> TOC \z \o "1-2" \u \h</w:instrText>
          </w:r>
          <w:r>
            <w:rPr>
              <w:webHidden/>
              <w:rStyle w:val="Style9"/>
            </w:rPr>
            <w:fldChar w:fldCharType="separate"/>
          </w:r>
          <w:hyperlink w:anchor="__RefHeading___1">
            <w:r>
              <w:rPr>
                <w:webHidden/>
                <w:rStyle w:val="Style9"/>
              </w:rPr>
              <w:t>РАЗДЕЛ I. ОБЩАЯ ЧАСТЬ</w:t>
              <w:tab/>
              <w:t>4</w:t>
            </w:r>
          </w:hyperlink>
        </w:p>
        <w:p>
          <w:pPr>
            <w:pStyle w:val="TOC2"/>
            <w:tabs>
              <w:tab w:val="clear" w:pos="720"/>
              <w:tab w:val="right" w:pos="9865" w:leader="dot"/>
            </w:tabs>
            <w:rPr/>
          </w:pPr>
          <w:hyperlink w:anchor="__RefHeading___2">
            <w:r>
              <w:rPr>
                <w:webHidden/>
                <w:rStyle w:val="Style9"/>
                <w:b/>
              </w:rPr>
              <w:t>1.    Термины и определения</w:t>
            </w:r>
            <w:r>
              <w:rPr>
                <w:rStyle w:val="Style9"/>
              </w:rPr>
              <w:tab/>
              <w:t>4</w:t>
            </w:r>
          </w:hyperlink>
        </w:p>
        <w:p>
          <w:pPr>
            <w:pStyle w:val="TOC2"/>
            <w:tabs>
              <w:tab w:val="clear" w:pos="720"/>
              <w:tab w:val="right" w:pos="9865" w:leader="dot"/>
            </w:tabs>
            <w:rPr/>
          </w:pPr>
          <w:hyperlink w:anchor="__RefHeading___3">
            <w:r>
              <w:rPr>
                <w:webHidden/>
                <w:rStyle w:val="Style9"/>
                <w:b/>
              </w:rPr>
              <w:t>2.    ОБЩИЕ ПОЛОЖЕНИЯ</w:t>
            </w:r>
            <w:r>
              <w:rPr>
                <w:rStyle w:val="Style9"/>
              </w:rPr>
              <w:tab/>
              <w:t>7</w:t>
            </w:r>
          </w:hyperlink>
        </w:p>
        <w:p>
          <w:pPr>
            <w:pStyle w:val="TOC2"/>
            <w:tabs>
              <w:tab w:val="clear" w:pos="720"/>
              <w:tab w:val="right" w:pos="9865" w:leader="dot"/>
            </w:tabs>
            <w:rPr/>
          </w:pPr>
          <w:hyperlink w:anchor="__RefHeading___4">
            <w:r>
              <w:rPr>
                <w:webHidden/>
                <w:rStyle w:val="Style9"/>
                <w:b/>
              </w:rPr>
              <w:t>2.1.    Предмет закупки</w:t>
            </w:r>
            <w:r>
              <w:rPr>
                <w:rStyle w:val="Style9"/>
              </w:rPr>
              <w:tab/>
              <w:t>7</w:t>
            </w:r>
          </w:hyperlink>
        </w:p>
        <w:p>
          <w:pPr>
            <w:pStyle w:val="TOC2"/>
            <w:tabs>
              <w:tab w:val="clear" w:pos="720"/>
              <w:tab w:val="right" w:pos="9865" w:leader="dot"/>
            </w:tabs>
            <w:rPr/>
          </w:pPr>
          <w:hyperlink w:anchor="__RefHeading___5">
            <w:r>
              <w:rPr>
                <w:webHidden/>
                <w:rStyle w:val="Style9"/>
                <w:b/>
              </w:rPr>
              <w:t>2.2.    Правовая основа закупки</w:t>
            </w:r>
            <w:r>
              <w:rPr>
                <w:rStyle w:val="Style9"/>
              </w:rPr>
              <w:tab/>
              <w:t>7</w:t>
            </w:r>
          </w:hyperlink>
        </w:p>
        <w:p>
          <w:pPr>
            <w:pStyle w:val="TOC2"/>
            <w:tabs>
              <w:tab w:val="clear" w:pos="720"/>
              <w:tab w:val="right" w:pos="9865" w:leader="dot"/>
            </w:tabs>
            <w:rPr/>
          </w:pPr>
          <w:hyperlink w:anchor="__RefHeading___6">
            <w:r>
              <w:rPr>
                <w:webHidden/>
                <w:rStyle w:val="Style9"/>
                <w:b/>
              </w:rPr>
              <w:t>2.3.    Информационное обеспечение закупки</w:t>
            </w:r>
            <w:r>
              <w:rPr>
                <w:rStyle w:val="Style9"/>
              </w:rPr>
              <w:tab/>
              <w:t>8</w:t>
            </w:r>
          </w:hyperlink>
        </w:p>
        <w:p>
          <w:pPr>
            <w:pStyle w:val="TOC2"/>
            <w:tabs>
              <w:tab w:val="clear" w:pos="720"/>
              <w:tab w:val="right" w:pos="9865" w:leader="dot"/>
            </w:tabs>
            <w:rPr/>
          </w:pPr>
          <w:hyperlink w:anchor="__RefHeading___7">
            <w:r>
              <w:rPr>
                <w:webHidden/>
                <w:rStyle w:val="Style9"/>
                <w:b/>
              </w:rPr>
              <w:t>3.    ТРЕБОВАНИЯ К УЧАСТНИКУ, А ТАКЖЕ К ДОКУМЕНТАМ, ПОДТВЕРЖДАЮЩИМ ДАННЫЕ ТРЕБОВАНИЯ</w:t>
            </w:r>
            <w:r>
              <w:rPr>
                <w:rStyle w:val="Style9"/>
              </w:rPr>
              <w:tab/>
              <w:t>8</w:t>
            </w:r>
          </w:hyperlink>
        </w:p>
        <w:p>
          <w:pPr>
            <w:pStyle w:val="TOC2"/>
            <w:tabs>
              <w:tab w:val="clear" w:pos="720"/>
              <w:tab w:val="right" w:pos="9865" w:leader="dot"/>
            </w:tabs>
            <w:rPr/>
          </w:pPr>
          <w:hyperlink w:anchor="__RefHeading___8">
            <w:r>
              <w:rPr>
                <w:webHidden/>
                <w:rStyle w:val="Style9"/>
                <w:b/>
              </w:rPr>
              <w:t>3.1.    Участие в закупке</w:t>
            </w:r>
            <w:r>
              <w:rPr>
                <w:rStyle w:val="Style9"/>
              </w:rPr>
              <w:tab/>
              <w:t>8</w:t>
            </w:r>
          </w:hyperlink>
        </w:p>
        <w:p>
          <w:pPr>
            <w:pStyle w:val="TOC2"/>
            <w:tabs>
              <w:tab w:val="clear" w:pos="720"/>
              <w:tab w:val="right" w:pos="9865" w:leader="dot"/>
            </w:tabs>
            <w:rPr/>
          </w:pPr>
          <w:hyperlink w:anchor="__RefHeading___9">
            <w:r>
              <w:rPr>
                <w:webHidden/>
                <w:rStyle w:val="Style9"/>
                <w:b/>
              </w:rPr>
              <w:t>3.2.    Требования к участнику, а также к документам, подтверждающим данные требования</w:t>
            </w:r>
            <w:r>
              <w:rPr>
                <w:rStyle w:val="Style9"/>
              </w:rPr>
              <w:tab/>
              <w:t>8</w:t>
            </w:r>
          </w:hyperlink>
        </w:p>
        <w:p>
          <w:pPr>
            <w:pStyle w:val="TOC2"/>
            <w:tabs>
              <w:tab w:val="clear" w:pos="720"/>
              <w:tab w:val="right" w:pos="9865" w:leader="dot"/>
            </w:tabs>
            <w:rPr/>
          </w:pPr>
          <w:hyperlink w:anchor="__RefHeading___10">
            <w:r>
              <w:rPr>
                <w:webHidden/>
                <w:rStyle w:val="Style9"/>
                <w:b/>
              </w:rPr>
              <w:t>3.3.    Предоставление национального режима при осуществлении закупки</w:t>
            </w:r>
            <w:r>
              <w:rPr>
                <w:rStyle w:val="Style9"/>
              </w:rPr>
              <w:tab/>
              <w:t>9</w:t>
            </w:r>
          </w:hyperlink>
        </w:p>
        <w:p>
          <w:pPr>
            <w:pStyle w:val="TOC2"/>
            <w:tabs>
              <w:tab w:val="clear" w:pos="720"/>
              <w:tab w:val="right" w:pos="9865" w:leader="dot"/>
            </w:tabs>
            <w:rPr/>
          </w:pPr>
          <w:hyperlink w:anchor="__RefHeading___11">
            <w:r>
              <w:rPr>
                <w:webHidden/>
                <w:rStyle w:val="Style9"/>
                <w:b/>
              </w:rPr>
              <w:t>3.4.    Расходы на участие в закупке</w:t>
            </w:r>
            <w:r>
              <w:rPr>
                <w:rStyle w:val="Style9"/>
              </w:rPr>
              <w:tab/>
              <w:t>12</w:t>
            </w:r>
          </w:hyperlink>
        </w:p>
        <w:p>
          <w:pPr>
            <w:pStyle w:val="TOC2"/>
            <w:tabs>
              <w:tab w:val="clear" w:pos="720"/>
              <w:tab w:val="right" w:pos="9865" w:leader="dot"/>
            </w:tabs>
            <w:rPr/>
          </w:pPr>
          <w:hyperlink w:anchor="__RefHeading___12">
            <w:r>
              <w:rPr>
                <w:webHidden/>
                <w:rStyle w:val="Style9"/>
                <w:b/>
              </w:rPr>
              <w:t>4.    ПОРЯДОК ПРЕДОСТАВЛЕНИЯ РАЗЪЯСНЕНИЙ, ИЗМЕНЕНИЯ ИЗВЕЩЕНИЯ И ДОКУМЕНТАЦИИ, ПОРЯДОК ОТМЕНЫ ЗАКУПКИ</w:t>
            </w:r>
            <w:r>
              <w:rPr>
                <w:rStyle w:val="Style9"/>
              </w:rPr>
              <w:tab/>
              <w:t>12</w:t>
            </w:r>
          </w:hyperlink>
        </w:p>
        <w:p>
          <w:pPr>
            <w:pStyle w:val="TOC2"/>
            <w:tabs>
              <w:tab w:val="clear" w:pos="720"/>
              <w:tab w:val="right" w:pos="9865" w:leader="dot"/>
            </w:tabs>
            <w:rPr/>
          </w:pPr>
          <w:hyperlink w:anchor="__RefHeading___13">
            <w:r>
              <w:rPr>
                <w:webHidden/>
                <w:rStyle w:val="Style9"/>
                <w:b/>
              </w:rPr>
              <w:t>4.1.    Порядок предоставления разъяснений положений извещения и (или) положений документации</w:t>
            </w:r>
            <w:r>
              <w:rPr>
                <w:rStyle w:val="Style9"/>
              </w:rPr>
              <w:tab/>
              <w:t>12</w:t>
            </w:r>
          </w:hyperlink>
        </w:p>
        <w:p>
          <w:pPr>
            <w:pStyle w:val="TOC2"/>
            <w:tabs>
              <w:tab w:val="clear" w:pos="720"/>
              <w:tab w:val="right" w:pos="9865" w:leader="dot"/>
            </w:tabs>
            <w:rPr/>
          </w:pPr>
          <w:hyperlink w:anchor="__RefHeading___14">
            <w:r>
              <w:rPr>
                <w:webHidden/>
                <w:rStyle w:val="Style9"/>
                <w:b/>
              </w:rPr>
              <w:t>4.2.    Порядок внесения изменений в извещение и документацию</w:t>
            </w:r>
            <w:r>
              <w:rPr>
                <w:rStyle w:val="Style9"/>
              </w:rPr>
              <w:tab/>
              <w:t>13</w:t>
            </w:r>
          </w:hyperlink>
        </w:p>
        <w:p>
          <w:pPr>
            <w:pStyle w:val="TOC2"/>
            <w:tabs>
              <w:tab w:val="clear" w:pos="720"/>
              <w:tab w:val="right" w:pos="9865" w:leader="dot"/>
            </w:tabs>
            <w:rPr/>
          </w:pPr>
          <w:hyperlink w:anchor="__RefHeading___15">
            <w:r>
              <w:rPr>
                <w:webHidden/>
                <w:rStyle w:val="Style9"/>
                <w:b/>
              </w:rPr>
              <w:t>4.3.    Порядок отмены закупки</w:t>
            </w:r>
            <w:r>
              <w:rPr>
                <w:rStyle w:val="Style9"/>
              </w:rPr>
              <w:tab/>
              <w:t>13</w:t>
            </w:r>
          </w:hyperlink>
        </w:p>
        <w:p>
          <w:pPr>
            <w:pStyle w:val="TOC2"/>
            <w:tabs>
              <w:tab w:val="clear" w:pos="720"/>
              <w:tab w:val="right" w:pos="9865" w:leader="dot"/>
            </w:tabs>
            <w:rPr/>
          </w:pPr>
          <w:hyperlink w:anchor="__RefHeading___16">
            <w:r>
              <w:rPr>
                <w:webHidden/>
                <w:rStyle w:val="Style9"/>
                <w:b/>
              </w:rPr>
              <w:t>5.    ТРЕБОВАНИЯ К СОДЕРЖАНИЮ, ФОРМЕ, ОФОРМЛЕНИЮ И СОСТАВУ ЗАЯВКИ НА УЧАСТИЕ В ЗАКУПКЕ</w:t>
            </w:r>
            <w:r>
              <w:rPr>
                <w:rStyle w:val="Style9"/>
              </w:rPr>
              <w:tab/>
              <w:t>14</w:t>
            </w:r>
          </w:hyperlink>
        </w:p>
        <w:p>
          <w:pPr>
            <w:pStyle w:val="TOC2"/>
            <w:tabs>
              <w:tab w:val="clear" w:pos="720"/>
              <w:tab w:val="right" w:pos="9865" w:leader="dot"/>
            </w:tabs>
            <w:rPr/>
          </w:pPr>
          <w:hyperlink w:anchor="__RefHeading___17">
            <w:r>
              <w:rPr>
                <w:webHidden/>
                <w:rStyle w:val="Style9"/>
                <w:b/>
              </w:rPr>
              <w:t>5.1.    Общие требования к заявке, а также к документам, входящим в состав заявки</w:t>
            </w:r>
            <w:r>
              <w:rPr>
                <w:rStyle w:val="Style9"/>
              </w:rPr>
              <w:tab/>
              <w:t>14</w:t>
            </w:r>
          </w:hyperlink>
        </w:p>
        <w:p>
          <w:pPr>
            <w:pStyle w:val="TOC2"/>
            <w:tabs>
              <w:tab w:val="clear" w:pos="720"/>
              <w:tab w:val="right" w:pos="9865" w:leader="dot"/>
            </w:tabs>
            <w:rPr/>
          </w:pPr>
          <w:hyperlink w:anchor="__RefHeading___18">
            <w:r>
              <w:rPr>
                <w:webHidden/>
                <w:rStyle w:val="Style9"/>
                <w:b/>
              </w:rPr>
              <w:t>5.2.    Язык документов, входящих в состав заявки на участие в закупке</w:t>
            </w:r>
            <w:r>
              <w:rPr>
                <w:rStyle w:val="Style9"/>
              </w:rPr>
              <w:tab/>
              <w:t>14</w:t>
            </w:r>
          </w:hyperlink>
        </w:p>
        <w:p>
          <w:pPr>
            <w:pStyle w:val="TOC2"/>
            <w:tabs>
              <w:tab w:val="clear" w:pos="720"/>
              <w:tab w:val="right" w:pos="9865" w:leader="dot"/>
            </w:tabs>
            <w:rPr/>
          </w:pPr>
          <w:hyperlink w:anchor="__RefHeading___19">
            <w:r>
              <w:rPr>
                <w:webHidden/>
                <w:rStyle w:val="Style9"/>
                <w:b/>
              </w:rPr>
              <w:t>5.3.    Валюта заявки на участие в закупке</w:t>
            </w:r>
            <w:r>
              <w:rPr>
                <w:rStyle w:val="Style9"/>
              </w:rPr>
              <w:tab/>
              <w:t>15</w:t>
            </w:r>
          </w:hyperlink>
        </w:p>
        <w:p>
          <w:pPr>
            <w:pStyle w:val="TOC2"/>
            <w:tabs>
              <w:tab w:val="clear" w:pos="720"/>
              <w:tab w:val="right" w:pos="9865" w:leader="dot"/>
            </w:tabs>
            <w:rPr/>
          </w:pPr>
          <w:hyperlink w:anchor="__RefHeading___20">
            <w:r>
              <w:rPr>
                <w:webHidden/>
                <w:rStyle w:val="Style9"/>
                <w:b/>
              </w:rPr>
              <w:t>5.4.    Требования к содержанию документов, входящих в состав заявки на участие в закупке</w:t>
            </w:r>
            <w:r>
              <w:rPr>
                <w:rStyle w:val="Style9"/>
              </w:rPr>
              <w:tab/>
              <w:t>15</w:t>
            </w:r>
          </w:hyperlink>
        </w:p>
        <w:p>
          <w:pPr>
            <w:pStyle w:val="TOC2"/>
            <w:tabs>
              <w:tab w:val="clear" w:pos="720"/>
              <w:tab w:val="right" w:pos="9865" w:leader="dot"/>
            </w:tabs>
            <w:rPr/>
          </w:pPr>
          <w:hyperlink w:anchor="__RefHeading___21">
            <w:r>
              <w:rPr>
                <w:webHidden/>
                <w:rStyle w:val="Style9"/>
                <w:b/>
              </w:rPr>
              <w:t>5.5.    Требования к ценовому предложению</w:t>
            </w:r>
            <w:r>
              <w:rPr>
                <w:rStyle w:val="Style9"/>
              </w:rPr>
              <w:tab/>
              <w:t>15</w:t>
            </w:r>
          </w:hyperlink>
        </w:p>
        <w:p>
          <w:pPr>
            <w:pStyle w:val="TOC2"/>
            <w:tabs>
              <w:tab w:val="clear" w:pos="720"/>
              <w:tab w:val="right" w:pos="9865" w:leader="dot"/>
            </w:tabs>
            <w:rPr/>
          </w:pPr>
          <w:hyperlink w:anchor="__RefHeading___22">
            <w:r>
              <w:rPr>
                <w:webHidden/>
                <w:rStyle w:val="Style9"/>
                <w:b/>
              </w:rPr>
              <w:t>5.6.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rStyle w:val="Style9"/>
              </w:rPr>
              <w:tab/>
              <w:t>16</w:t>
            </w:r>
          </w:hyperlink>
        </w:p>
        <w:p>
          <w:pPr>
            <w:pStyle w:val="TOC2"/>
            <w:tabs>
              <w:tab w:val="clear" w:pos="720"/>
              <w:tab w:val="right" w:pos="9865" w:leader="dot"/>
            </w:tabs>
            <w:rPr/>
          </w:pPr>
          <w:hyperlink w:anchor="__RefHeading___23">
            <w:r>
              <w:rPr>
                <w:webHidden/>
                <w:rStyle w:val="Style9"/>
                <w:b/>
              </w:rPr>
              <w:t>6.    ПОРЯДОК ПОДАЧИ ЗАЯВОК</w:t>
            </w:r>
            <w:r>
              <w:rPr>
                <w:rStyle w:val="Style9"/>
              </w:rPr>
              <w:tab/>
              <w:t>16</w:t>
            </w:r>
          </w:hyperlink>
        </w:p>
        <w:p>
          <w:pPr>
            <w:pStyle w:val="TOC2"/>
            <w:tabs>
              <w:tab w:val="clear" w:pos="720"/>
              <w:tab w:val="right" w:pos="9865" w:leader="dot"/>
            </w:tabs>
            <w:rPr/>
          </w:pPr>
          <w:hyperlink w:anchor="__RefHeading___24">
            <w:r>
              <w:rPr>
                <w:webHidden/>
                <w:rStyle w:val="Style9"/>
                <w:b/>
              </w:rPr>
              <w:t>6.1.    Порядок подачи заявок</w:t>
            </w:r>
            <w:r>
              <w:rPr>
                <w:rStyle w:val="Style9"/>
              </w:rPr>
              <w:tab/>
              <w:t>16</w:t>
            </w:r>
          </w:hyperlink>
        </w:p>
        <w:p>
          <w:pPr>
            <w:pStyle w:val="TOC2"/>
            <w:tabs>
              <w:tab w:val="clear" w:pos="720"/>
              <w:tab w:val="right" w:pos="9865" w:leader="dot"/>
            </w:tabs>
            <w:rPr/>
          </w:pPr>
          <w:hyperlink w:anchor="__RefHeading___25">
            <w:r>
              <w:rPr>
                <w:webHidden/>
                <w:rStyle w:val="Style9"/>
                <w:b/>
              </w:rPr>
              <w:t>6.2.    Обеспечение заявки на участие в закупке</w:t>
            </w:r>
            <w:r>
              <w:rPr>
                <w:rStyle w:val="Style9"/>
              </w:rPr>
              <w:tab/>
              <w:t>17</w:t>
            </w:r>
          </w:hyperlink>
        </w:p>
        <w:p>
          <w:pPr>
            <w:pStyle w:val="TOC2"/>
            <w:tabs>
              <w:tab w:val="clear" w:pos="720"/>
              <w:tab w:val="right" w:pos="9865" w:leader="dot"/>
            </w:tabs>
            <w:rPr/>
          </w:pPr>
          <w:hyperlink w:anchor="__RefHeading___26">
            <w:r>
              <w:rPr>
                <w:webHidden/>
                <w:rStyle w:val="Style9"/>
                <w:b/>
              </w:rPr>
              <w:t>6.3.    Порядок внесения изменений или порядок отзыва заявок</w:t>
            </w:r>
            <w:r>
              <w:rPr>
                <w:rStyle w:val="Style9"/>
              </w:rPr>
              <w:tab/>
              <w:t>19</w:t>
            </w:r>
          </w:hyperlink>
        </w:p>
        <w:p>
          <w:pPr>
            <w:pStyle w:val="TOC2"/>
            <w:tabs>
              <w:tab w:val="clear" w:pos="720"/>
              <w:tab w:val="right" w:pos="9865" w:leader="dot"/>
            </w:tabs>
            <w:rPr/>
          </w:pPr>
          <w:hyperlink w:anchor="__RefHeading___27">
            <w:r>
              <w:rPr>
                <w:webHidden/>
                <w:rStyle w:val="Style9"/>
                <w:b/>
              </w:rPr>
              <w:t>6.4.    Особенности подачи и рассмотрения заявки, содержащей альтернативные предложения</w:t>
            </w:r>
            <w:r>
              <w:rPr>
                <w:rStyle w:val="Style9"/>
              </w:rPr>
              <w:tab/>
              <w:t>19</w:t>
            </w:r>
          </w:hyperlink>
        </w:p>
        <w:p>
          <w:pPr>
            <w:pStyle w:val="TOC2"/>
            <w:tabs>
              <w:tab w:val="clear" w:pos="720"/>
              <w:tab w:val="right" w:pos="9865" w:leader="dot"/>
            </w:tabs>
            <w:rPr/>
          </w:pPr>
          <w:hyperlink w:anchor="__RefHeading___28">
            <w:r>
              <w:rPr>
                <w:webHidden/>
                <w:rStyle w:val="Style9"/>
                <w:b/>
              </w:rPr>
              <w:t>7.    ПОРЯДОК РАССМОТРЕНИЯ, ОЦЕНКИ И СОПОСТАВЛЕНИЯ ЗАЯВОК, ПОДВЕДЕНИЕ ИТОГОВ ЗАКУПКИ</w:t>
            </w:r>
            <w:r>
              <w:rPr>
                <w:rStyle w:val="Style9"/>
              </w:rPr>
              <w:tab/>
              <w:t>20</w:t>
            </w:r>
          </w:hyperlink>
        </w:p>
        <w:p>
          <w:pPr>
            <w:pStyle w:val="TOC2"/>
            <w:tabs>
              <w:tab w:val="clear" w:pos="720"/>
              <w:tab w:val="right" w:pos="9865" w:leader="dot"/>
            </w:tabs>
            <w:rPr/>
          </w:pPr>
          <w:hyperlink w:anchor="__RefHeading___29">
            <w:r>
              <w:rPr>
                <w:webHidden/>
                <w:rStyle w:val="Style9"/>
                <w:b/>
              </w:rPr>
              <w:t>7.1.    Порядок рассмотрения заявок на участие в закупке</w:t>
            </w:r>
            <w:r>
              <w:rPr>
                <w:rStyle w:val="Style9"/>
              </w:rPr>
              <w:tab/>
              <w:t>20</w:t>
            </w:r>
          </w:hyperlink>
        </w:p>
        <w:p>
          <w:pPr>
            <w:pStyle w:val="TOC2"/>
            <w:tabs>
              <w:tab w:val="clear" w:pos="720"/>
              <w:tab w:val="right" w:pos="9865" w:leader="dot"/>
            </w:tabs>
            <w:rPr/>
          </w:pPr>
          <w:hyperlink w:anchor="__RefHeading___30">
            <w:r>
              <w:rPr>
                <w:webHidden/>
                <w:rStyle w:val="Style9"/>
                <w:b/>
              </w:rPr>
              <w:t>7.2.    Порядок оценки и сопоставления заявок на участие в закупке, порядок определения победителя закупки, подведения итогов закупки</w:t>
            </w:r>
            <w:r>
              <w:rPr>
                <w:rStyle w:val="Style9"/>
              </w:rPr>
              <w:tab/>
              <w:t>22</w:t>
            </w:r>
          </w:hyperlink>
        </w:p>
        <w:p>
          <w:pPr>
            <w:pStyle w:val="TOC2"/>
            <w:tabs>
              <w:tab w:val="clear" w:pos="720"/>
              <w:tab w:val="right" w:pos="9865" w:leader="dot"/>
            </w:tabs>
            <w:rPr/>
          </w:pPr>
          <w:hyperlink w:anchor="__RefHeading___31">
            <w:r>
              <w:rPr>
                <w:webHidden/>
                <w:rStyle w:val="Style9"/>
                <w:b/>
              </w:rPr>
              <w:t>7.3.    Преддоговорные переговоры</w:t>
            </w:r>
            <w:r>
              <w:rPr>
                <w:rStyle w:val="Style9"/>
              </w:rPr>
              <w:tab/>
              <w:t>23</w:t>
            </w:r>
          </w:hyperlink>
        </w:p>
        <w:p>
          <w:pPr>
            <w:pStyle w:val="TOC2"/>
            <w:tabs>
              <w:tab w:val="clear" w:pos="720"/>
              <w:tab w:val="right" w:pos="9865" w:leader="dot"/>
            </w:tabs>
            <w:rPr/>
          </w:pPr>
          <w:hyperlink w:anchor="__RefHeading___32">
            <w:r>
              <w:rPr>
                <w:webHidden/>
                <w:rStyle w:val="Style9"/>
                <w:b/>
              </w:rPr>
              <w:t>8.    ЗАКЛЮЧЕНИЕ ДОГОВОРА</w:t>
            </w:r>
            <w:r>
              <w:rPr>
                <w:rStyle w:val="Style9"/>
              </w:rPr>
              <w:tab/>
              <w:t>23</w:t>
            </w:r>
          </w:hyperlink>
        </w:p>
        <w:p>
          <w:pPr>
            <w:pStyle w:val="TOC2"/>
            <w:tabs>
              <w:tab w:val="clear" w:pos="720"/>
              <w:tab w:val="right" w:pos="9865" w:leader="dot"/>
            </w:tabs>
            <w:rPr/>
          </w:pPr>
          <w:hyperlink w:anchor="__RefHeading___33">
            <w:r>
              <w:rPr>
                <w:webHidden/>
                <w:rStyle w:val="Style9"/>
                <w:b/>
              </w:rPr>
              <w:t>8.1.    Порядок заключения договора</w:t>
            </w:r>
            <w:r>
              <w:rPr>
                <w:rStyle w:val="Style9"/>
              </w:rPr>
              <w:tab/>
              <w:t>23</w:t>
            </w:r>
          </w:hyperlink>
        </w:p>
        <w:p>
          <w:pPr>
            <w:pStyle w:val="TOC2"/>
            <w:tabs>
              <w:tab w:val="clear" w:pos="720"/>
              <w:tab w:val="right" w:pos="9865" w:leader="dot"/>
            </w:tabs>
            <w:rPr/>
          </w:pPr>
          <w:hyperlink w:anchor="__RefHeading___34">
            <w:r>
              <w:rPr>
                <w:webHidden/>
                <w:rStyle w:val="Style9"/>
                <w:b/>
              </w:rPr>
              <w:t>8.2.    Порядок заключения договора с участником, занявшим следующее место, если победитель закупки признан уклонившимся от заключения договора</w:t>
            </w:r>
            <w:r>
              <w:rPr>
                <w:rStyle w:val="Style9"/>
              </w:rPr>
              <w:tab/>
              <w:t>25</w:t>
            </w:r>
          </w:hyperlink>
        </w:p>
        <w:p>
          <w:pPr>
            <w:pStyle w:val="TOC2"/>
            <w:tabs>
              <w:tab w:val="clear" w:pos="720"/>
              <w:tab w:val="right" w:pos="9865" w:leader="dot"/>
            </w:tabs>
            <w:rPr/>
          </w:pPr>
          <w:hyperlink w:anchor="__RefHeading___35">
            <w:r>
              <w:rPr>
                <w:webHidden/>
                <w:rStyle w:val="Style9"/>
                <w:b/>
              </w:rPr>
              <w:t>8.3.    Антидемпинговые меры</w:t>
            </w:r>
            <w:r>
              <w:rPr>
                <w:rStyle w:val="Style9"/>
              </w:rPr>
              <w:tab/>
              <w:t>25</w:t>
            </w:r>
          </w:hyperlink>
        </w:p>
        <w:p>
          <w:pPr>
            <w:pStyle w:val="TOC2"/>
            <w:tabs>
              <w:tab w:val="clear" w:pos="720"/>
              <w:tab w:val="right" w:pos="9865" w:leader="dot"/>
            </w:tabs>
            <w:rPr/>
          </w:pPr>
          <w:hyperlink w:anchor="__RefHeading___36">
            <w:r>
              <w:rPr>
                <w:webHidden/>
                <w:rStyle w:val="Style9"/>
                <w:b/>
              </w:rPr>
              <w:t>8.4.    Обеспечение исполнения договора</w:t>
            </w:r>
            <w:r>
              <w:rPr>
                <w:rStyle w:val="Style9"/>
              </w:rPr>
              <w:tab/>
              <w:t>25</w:t>
            </w:r>
          </w:hyperlink>
        </w:p>
        <w:p>
          <w:pPr>
            <w:pStyle w:val="TOC2"/>
            <w:tabs>
              <w:tab w:val="clear" w:pos="720"/>
              <w:tab w:val="right" w:pos="9865" w:leader="dot"/>
            </w:tabs>
            <w:rPr/>
          </w:pPr>
          <w:hyperlink w:anchor="__RefHeading___37">
            <w:r>
              <w:rPr>
                <w:webHidden/>
                <w:rStyle w:val="Style9"/>
                <w:b/>
              </w:rPr>
              <w:t>8.5.    Последствия уклонения участника от заключения договора, случаи внесения сведений об участнике в реестр недобросовестных поставщиков</w:t>
            </w:r>
            <w:r>
              <w:rPr>
                <w:rStyle w:val="Style9"/>
              </w:rPr>
              <w:tab/>
              <w:t>28</w:t>
            </w:r>
          </w:hyperlink>
        </w:p>
        <w:p>
          <w:pPr>
            <w:pStyle w:val="TOC1"/>
            <w:tabs>
              <w:tab w:val="clear" w:pos="720"/>
              <w:tab w:val="right" w:pos="9865" w:leader="dot"/>
            </w:tabs>
            <w:rPr/>
          </w:pPr>
          <w:hyperlink w:anchor="__RefHeading___38">
            <w:r>
              <w:rPr>
                <w:webHidden/>
                <w:rStyle w:val="Style9"/>
              </w:rPr>
              <w:t>РАЗДЕЛ II. ИНФОРМАЦИОННАЯ КАРТА</w:t>
              <w:tab/>
              <w:t>30</w:t>
            </w:r>
          </w:hyperlink>
        </w:p>
        <w:p>
          <w:pPr>
            <w:pStyle w:val="TOC1"/>
            <w:tabs>
              <w:tab w:val="clear" w:pos="720"/>
              <w:tab w:val="right" w:pos="9865" w:leader="dot"/>
            </w:tabs>
            <w:rPr/>
          </w:pPr>
          <w:hyperlink w:anchor="__RefHeading___39">
            <w:r>
              <w:rPr>
                <w:webHidden/>
                <w:rStyle w:val="Style9"/>
              </w:rPr>
              <w:t>РАЗДЕЛ III. ФОРМЫ ДЛЯ ЗАПОЛНЕНИЯ УЧАСТНИКАМИ ЗАКУПКИ</w:t>
              <w:tab/>
              <w:t>38</w:t>
            </w:r>
          </w:hyperlink>
        </w:p>
        <w:p>
          <w:pPr>
            <w:pStyle w:val="TOC1"/>
            <w:tabs>
              <w:tab w:val="clear" w:pos="720"/>
              <w:tab w:val="right" w:pos="9865" w:leader="dot"/>
            </w:tabs>
            <w:rPr/>
          </w:pPr>
          <w:hyperlink w:anchor="__RefHeading___40">
            <w:r>
              <w:rPr>
                <w:webHidden/>
                <w:rStyle w:val="Style9"/>
              </w:rPr>
              <w:t>Форма 1 АНКЕТА УЧАСТНИКА ЗАПРОСА ЦЕН</w:t>
              <w:tab/>
              <w:t>38</w:t>
            </w:r>
          </w:hyperlink>
        </w:p>
        <w:p>
          <w:pPr>
            <w:pStyle w:val="TOC1"/>
            <w:tabs>
              <w:tab w:val="clear" w:pos="720"/>
              <w:tab w:val="right" w:pos="9865" w:leader="dot"/>
            </w:tabs>
            <w:rPr/>
          </w:pPr>
          <w:hyperlink w:anchor="__RefHeading___41">
            <w:r>
              <w:rPr>
                <w:webHidden/>
                <w:rStyle w:val="Style9"/>
              </w:rPr>
              <w:t>Форма 2 ТЕХНИКО-КОММЕРЧЕСКОЕ ПРЕДЛОЖЕНИЕ</w:t>
              <w:tab/>
              <w:t>40</w:t>
            </w:r>
          </w:hyperlink>
        </w:p>
        <w:p>
          <w:pPr>
            <w:pStyle w:val="TOC1"/>
            <w:tabs>
              <w:tab w:val="clear" w:pos="720"/>
              <w:tab w:val="right" w:pos="9865" w:leader="dot"/>
            </w:tabs>
            <w:rPr/>
          </w:pPr>
          <w:hyperlink w:anchor="__RefHeading___42">
            <w:r>
              <w:rPr>
                <w:webHidden/>
                <w:rStyle w:val="Style9"/>
              </w:rPr>
              <w:t>Форма 3 РЕКОМЕНДУЕМАЯ ФОРМА ЗАПРОСА РАЗЪЯСНЕНИЙ ДОКУМЕНТАЦИИ О ЗАКУПКЕ</w:t>
              <w:tab/>
              <w:t>42</w:t>
            </w:r>
          </w:hyperlink>
        </w:p>
        <w:p>
          <w:pPr>
            <w:pStyle w:val="TOC1"/>
            <w:tabs>
              <w:tab w:val="clear" w:pos="720"/>
              <w:tab w:val="right" w:pos="9865" w:leader="dot"/>
            </w:tabs>
            <w:rPr/>
          </w:pPr>
          <w:hyperlink w:anchor="__RefHeading___43">
            <w:r>
              <w:rPr>
                <w:webHidden/>
                <w:rStyle w:val="Style9"/>
              </w:rPr>
              <w:t>РАЗДЕЛ IV. ТЕХНИЧЕСКОЕ ЗАДАНИЕ</w:t>
              <w:tab/>
              <w:t>43</w:t>
            </w:r>
          </w:hyperlink>
        </w:p>
        <w:p>
          <w:pPr>
            <w:pStyle w:val="TOC1"/>
            <w:tabs>
              <w:tab w:val="clear" w:pos="720"/>
              <w:tab w:val="right" w:pos="9865" w:leader="dot"/>
            </w:tabs>
            <w:rPr/>
          </w:pPr>
          <w:hyperlink w:anchor="__RefHeading___44">
            <w:r>
              <w:rPr>
                <w:webHidden/>
                <w:rStyle w:val="Style9"/>
              </w:rPr>
              <w:t>РАЗДЕЛ V. ПРОЕКТ ДОГОВОРА</w:t>
              <w:tab/>
              <w:t>43</w:t>
            </w:r>
          </w:hyperlink>
        </w:p>
        <w:p>
          <w:pPr>
            <w:pStyle w:val="TOC1"/>
            <w:tabs>
              <w:tab w:val="clear" w:pos="720"/>
              <w:tab w:val="right" w:pos="9865" w:leader="dot"/>
            </w:tabs>
            <w:rPr/>
          </w:pPr>
          <w:hyperlink w:anchor="__RefHeading___45">
            <w:r>
              <w:rPr>
                <w:webHidden/>
                <w:rStyle w:val="Style9"/>
              </w:rPr>
              <w:t>Приложение № 1</w:t>
              <w:tab/>
              <w:t>44</w:t>
            </w:r>
          </w:hyperlink>
        </w:p>
        <w:p>
          <w:pPr>
            <w:pStyle w:val="TOC1"/>
            <w:tabs>
              <w:tab w:val="clear" w:pos="720"/>
              <w:tab w:val="right" w:pos="9865" w:leader="dot"/>
            </w:tabs>
            <w:rPr/>
          </w:pPr>
          <w:hyperlink w:anchor="__RefHeading___46">
            <w:r>
              <w:rPr>
                <w:webHidden/>
                <w:rStyle w:val="Style9"/>
              </w:rPr>
              <w:t>Приложение № 2</w:t>
              <w:tab/>
              <w:t>47</w:t>
            </w:r>
          </w:hyperlink>
          <w:r>
            <w:rPr>
              <w:rStyle w:val="Style9"/>
            </w:rPr>
            <w:fldChar w:fldCharType="end"/>
          </w:r>
        </w:p>
      </w:sdtContent>
    </w:sdt>
    <w:p>
      <w:pPr>
        <w:pStyle w:val="TOC1"/>
        <w:widowControl/>
        <w:tabs>
          <w:tab w:val="clear" w:pos="720"/>
          <w:tab w:val="right" w:pos="10196" w:leader="dot"/>
        </w:tabs>
        <w:rPr>
          <w:rFonts w:ascii="Times New Roman" w:hAnsi="Times New Roman"/>
          <w:b w:val="false"/>
          <w:i w:val="false"/>
          <w:i w:val="false"/>
        </w:rPr>
      </w:pPr>
      <w:r>
        <w:rPr>
          <w:rFonts w:ascii="Times New Roman" w:hAnsi="Times New Roman"/>
          <w:b w:val="false"/>
          <w:i w:val="false"/>
        </w:rPr>
      </w:r>
    </w:p>
    <w:p>
      <w:pPr>
        <w:pStyle w:val="Normal"/>
        <w:widowControl/>
        <w:spacing w:lineRule="auto" w:line="360"/>
        <w:rPr/>
      </w:pPr>
      <w:r>
        <w:rPr/>
      </w:r>
      <w:bookmarkStart w:id="0" w:name="_GoBack"/>
      <w:bookmarkStart w:id="1" w:name="_GoBack"/>
      <w:bookmarkEnd w:id="1"/>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rPr>
          <w:sz w:val="2"/>
        </w:rPr>
      </w:pPr>
      <w:r>
        <w:rPr>
          <w:sz w:val="2"/>
        </w:rPr>
      </w:r>
      <w:r>
        <w:br w:type="page"/>
      </w:r>
    </w:p>
    <w:p>
      <w:pPr>
        <w:pStyle w:val="Heading1"/>
        <w:keepLines w:val="false"/>
        <w:widowControl/>
        <w:tabs>
          <w:tab w:val="clear" w:pos="720"/>
          <w:tab w:val="left" w:pos="6424" w:leader="none"/>
        </w:tabs>
        <w:spacing w:before="0" w:after="120"/>
        <w:ind w:hanging="360" w:start="792" w:end="0"/>
        <w:jc w:val="both"/>
        <w:rPr>
          <w:rFonts w:ascii="Times New Roman" w:hAnsi="Times New Roman"/>
          <w:color w:val="17365D"/>
        </w:rPr>
      </w:pPr>
      <w:bookmarkStart w:id="2" w:name="__RefHeading___1"/>
      <w:bookmarkStart w:id="3" w:name="_РАЗДЕЛ_I._ОБЩАЯ"/>
      <w:bookmarkEnd w:id="2"/>
      <w:bookmarkEnd w:id="3"/>
      <w:r>
        <w:rPr>
          <w:rFonts w:ascii="Times New Roman" w:hAnsi="Times New Roman"/>
          <w:color w:val="17365D"/>
        </w:rPr>
        <w:t>РАЗДЕЛ I. ОБЩАЯ ЧАСТЬ</w:t>
      </w:r>
    </w:p>
    <w:p>
      <w:pPr>
        <w:pStyle w:val="NormalWeb1"/>
        <w:keepNext w:val="true"/>
        <w:widowControl/>
        <w:numPr>
          <w:ilvl w:val="0"/>
          <w:numId w:val="1"/>
        </w:numPr>
        <w:tabs>
          <w:tab w:val="clear" w:pos="720"/>
          <w:tab w:val="left" w:pos="1418" w:leader="none"/>
          <w:tab w:val="left" w:pos="2912" w:leader="none"/>
        </w:tabs>
        <w:spacing w:before="120" w:after="120"/>
        <w:ind w:hanging="360" w:start="360" w:end="0"/>
        <w:jc w:val="center"/>
        <w:outlineLvl w:val="1"/>
        <w:rPr>
          <w:b/>
          <w:sz w:val="28"/>
        </w:rPr>
      </w:pPr>
      <w:bookmarkStart w:id="4" w:name="__RefHeading___2"/>
      <w:bookmarkEnd w:id="4"/>
      <w:r>
        <w:rPr>
          <w:b/>
          <w:sz w:val="28"/>
        </w:rPr>
        <w:t>Термины и определения</w:t>
        <w:tab/>
      </w:r>
    </w:p>
    <w:p>
      <w:pPr>
        <w:pStyle w:val="Normal"/>
        <w:widowControl/>
        <w:ind w:firstLine="709" w:start="0" w:end="0"/>
        <w:jc w:val="both"/>
        <w:rPr/>
      </w:pPr>
      <w:r>
        <w:rPr>
          <w:b/>
        </w:rPr>
        <w:t>Документация о закупке (документация)</w:t>
      </w:r>
      <w:r>
        <w:rPr/>
        <w:t xml:space="preserve"> – настоящая документация, содержащая установленные Законом № 223-ФЗ и </w:t>
      </w:r>
      <w:hyperlink r:id="rId4">
        <w:r>
          <w:rPr>
            <w:rStyle w:val="Style4"/>
          </w:rPr>
          <w:t>Положением о закупках</w:t>
        </w:r>
      </w:hyperlink>
      <w:r>
        <w:rPr/>
        <w:t xml:space="preserve"> сведения о запросе цен.</w:t>
      </w:r>
    </w:p>
    <w:p>
      <w:pPr>
        <w:pStyle w:val="Normal"/>
        <w:widowControl/>
        <w:ind w:firstLine="709" w:start="0" w:end="0"/>
        <w:jc w:val="both"/>
        <w:rPr/>
      </w:pPr>
      <w:r>
        <w:rPr>
          <w:b/>
        </w:rPr>
        <w:t>Единая информационная система (ЕИС)</w:t>
      </w:r>
      <w:r>
        <w:rPr/>
        <w:t xml:space="preserve"> – единая информационная система в сфере закупок, в том числе официальный сайт единой информационной системы в сфере закупок, </w:t>
      </w:r>
      <w:hyperlink r:id="rId5">
        <w:r>
          <w:rPr>
            <w:rStyle w:val="Style4"/>
          </w:rPr>
          <w:t>www.zakupki.gov.ru</w:t>
        </w:r>
      </w:hyperlink>
      <w:r>
        <w:rPr/>
        <w:t>.</w:t>
      </w:r>
    </w:p>
    <w:p>
      <w:pPr>
        <w:pStyle w:val="Normal"/>
        <w:widowControl/>
        <w:ind w:firstLine="709" w:start="0" w:end="0"/>
        <w:jc w:val="both"/>
        <w:rPr/>
      </w:pPr>
      <w:r>
        <w:rPr>
          <w:b/>
        </w:rPr>
        <w:t>Заказчик</w:t>
      </w:r>
      <w:r>
        <w:rPr/>
        <w:t xml:space="preserve"> – организация, указанная в п. </w:t>
      </w:r>
      <w:r>
        <w:rPr/>
        <w:fldChar w:fldCharType="begin"/>
      </w:r>
      <w:r>
        <w:rPr/>
        <w:instrText xml:space="preserve"> REF _Ref368314103 \r \r \h </w:instrText>
      </w:r>
      <w:r>
        <w:rPr/>
        <w:fldChar w:fldCharType="separate"/>
      </w:r>
      <w:r>
        <w:rPr/>
        <w:t>1</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w:t>
      </w:r>
    </w:p>
    <w:p>
      <w:pPr>
        <w:pStyle w:val="Normal"/>
        <w:widowControl/>
        <w:ind w:firstLine="709" w:start="0" w:end="0"/>
        <w:jc w:val="both"/>
        <w:rPr/>
      </w:pPr>
      <w:r>
        <w:rPr>
          <w:b/>
        </w:rPr>
        <w:t>Закупочная комиссия</w:t>
      </w:r>
      <w:r>
        <w:rP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pPr>
        <w:pStyle w:val="Normal"/>
        <w:widowControl/>
        <w:ind w:firstLine="709" w:start="0" w:end="0"/>
        <w:jc w:val="both"/>
        <w:rPr/>
      </w:pPr>
      <w:r>
        <w:rPr>
          <w:b/>
        </w:rPr>
        <w:t>Заявка на участие в закупке</w:t>
      </w:r>
      <w:r>
        <w:rPr/>
        <w:t xml:space="preserve"> </w:t>
      </w:r>
      <w:r>
        <w:rPr>
          <w:b/>
        </w:rPr>
        <w:t>(заявка)</w:t>
      </w:r>
      <w:r>
        <w:rP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документации о закупке и </w:t>
      </w:r>
      <w:hyperlink r:id="rId6">
        <w:r>
          <w:rPr>
            <w:rStyle w:val="Style4"/>
          </w:rPr>
          <w:t>Положении о закупках</w:t>
        </w:r>
      </w:hyperlink>
      <w:r>
        <w:rPr/>
        <w:t>.</w:t>
      </w:r>
    </w:p>
    <w:p>
      <w:pPr>
        <w:pStyle w:val="Normal"/>
        <w:widowControl/>
        <w:ind w:firstLine="709" w:start="0" w:end="0"/>
        <w:jc w:val="both"/>
        <w:rPr/>
      </w:pPr>
      <w:r>
        <w:rPr>
          <w:b/>
        </w:rPr>
        <w:t xml:space="preserve">Извещение о закупке – </w:t>
      </w:r>
      <w:r>
        <w:rPr/>
        <w:t xml:space="preserve">документ, формируемый посредством функционала ЭТП и содержащий установленные Законом № 223-ФЗ и </w:t>
      </w:r>
      <w:hyperlink r:id="rId7">
        <w:r>
          <w:rPr>
            <w:rStyle w:val="Style4"/>
          </w:rPr>
          <w:t>Положением о закупках</w:t>
        </w:r>
      </w:hyperlink>
      <w:r>
        <w:rPr/>
        <w:t xml:space="preserve"> сведения о запросе цен.</w:t>
      </w:r>
    </w:p>
    <w:p>
      <w:pPr>
        <w:pStyle w:val="Normal"/>
        <w:widowControl/>
        <w:ind w:firstLine="709" w:start="0" w:end="0"/>
        <w:jc w:val="both"/>
        <w:rPr/>
      </w:pPr>
      <w:r>
        <w:rPr>
          <w:b/>
        </w:rPr>
        <w:t>Запрос цен</w:t>
      </w:r>
      <w:r>
        <w:rPr/>
        <w:t xml:space="preserve"> </w:t>
      </w:r>
      <w:r>
        <w:rPr>
          <w:b/>
        </w:rPr>
        <w:t>в электронной форме</w:t>
      </w:r>
      <w:r>
        <w:rPr/>
        <w:t xml:space="preserve"> </w:t>
      </w:r>
      <w:r>
        <w:rPr>
          <w:b/>
        </w:rPr>
        <w:t>(запрос цен, закупка)</w:t>
      </w:r>
      <w:r>
        <w:rPr/>
        <w:t xml:space="preserve"> – способ неконкурентной закупки, по результатам осуществления которой Заказчик выбирает минимальное предложение по цене договора (цене за единицу продукции) из числа предложенных участниками закупки в соответствии с настоящей документацией.</w:t>
      </w:r>
    </w:p>
    <w:p>
      <w:pPr>
        <w:pStyle w:val="Normal"/>
        <w:widowControl/>
        <w:ind w:firstLine="709" w:start="0" w:end="0"/>
        <w:jc w:val="both"/>
        <w:rPr/>
      </w:pPr>
      <w:r>
        <w:rPr>
          <w:b/>
        </w:rPr>
        <w:t>Лот</w:t>
      </w:r>
      <w:r>
        <w:rPr/>
        <w:t xml:space="preserve"> – часть закупаемой продукции, явно обособленная в документации, на которую в рамках закупки подается отдельное предложение.</w:t>
      </w:r>
    </w:p>
    <w:p>
      <w:pPr>
        <w:pStyle w:val="Times121"/>
        <w:widowControl/>
        <w:ind w:firstLine="709" w:start="0" w:end="0"/>
        <w:rPr/>
      </w:pPr>
      <w:r>
        <w:rPr>
          <w:b/>
        </w:rPr>
        <w:t>Начальная (максимальная) цена договора</w:t>
      </w:r>
      <w:r>
        <w:rPr>
          <w:b/>
          <w:sz w:val="26"/>
        </w:rPr>
        <w:t xml:space="preserve"> </w:t>
      </w:r>
      <w:r>
        <w:rPr/>
        <w:t xml:space="preserve">– предельно допустимая цена договора, указанная в п. </w:t>
      </w:r>
      <w:r>
        <w:rPr/>
        <w:fldChar w:fldCharType="begin"/>
      </w:r>
      <w:r>
        <w:rPr/>
        <w:instrText xml:space="preserve"> REF _Ref55316445 \r \r \h </w:instrText>
      </w:r>
      <w:r>
        <w:rPr/>
        <w:fldChar w:fldCharType="separate"/>
      </w:r>
      <w:r>
        <w:rPr/>
        <w:t>6</w:t>
      </w:r>
      <w:r>
        <w:rPr/>
        <w:fldChar w:fldCharType="end"/>
      </w:r>
      <w:r>
        <w:rPr/>
        <w:t xml:space="preserve"> раздела </w:t>
      </w:r>
      <w:hyperlink w:anchor="_РАЗДЕЛ_II._ИНФОРМАЦИОННАЯ_1">
        <w:r>
          <w:rPr>
            <w:rStyle w:val="Style4"/>
          </w:rPr>
          <w:t>II «ИНФОРМАЦИОННАЯ КАРТА</w:t>
        </w:r>
      </w:hyperlink>
      <w:r>
        <w:rPr/>
        <w:t>» документации.</w:t>
      </w:r>
    </w:p>
    <w:p>
      <w:pPr>
        <w:pStyle w:val="Normal"/>
        <w:widowControl/>
        <w:ind w:firstLine="709" w:start="0" w:end="0"/>
        <w:jc w:val="both"/>
        <w:rPr/>
      </w:pPr>
      <w:r>
        <w:rPr>
          <w:b/>
        </w:rPr>
        <w:t>Оператор Электронной торговой площадки (оператор ЭТП)</w:t>
      </w:r>
      <w:r>
        <w:rPr/>
        <w:t xml:space="preserve"> – являющееся коммерческой организацией юридическое лицо, созданное в соответствии с законодательством РФ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w:t>
      </w:r>
      <w:hyperlink r:id="rId8">
        <w:r>
          <w:rPr>
            <w:rStyle w:val="Style4"/>
          </w:rPr>
          <w:t>Положением о закупках</w:t>
        </w:r>
      </w:hyperlink>
      <w:r>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Закона № 223-ФЗ о требованиях к закупке в электронной форме, функционированию электронной площадки для целей проведения такой закупки.</w:t>
      </w:r>
    </w:p>
    <w:p>
      <w:pPr>
        <w:pStyle w:val="Normal"/>
        <w:widowControl/>
        <w:ind w:firstLine="709" w:start="0" w:end="0"/>
        <w:jc w:val="both"/>
        <w:rPr/>
      </w:pPr>
      <w:hyperlink r:id="rId9">
        <w:r>
          <w:rPr>
            <w:rStyle w:val="Style4"/>
            <w:b/>
          </w:rPr>
          <w:t>Положение о закупках</w:t>
        </w:r>
      </w:hyperlink>
      <w:r>
        <w:rPr/>
        <w:t xml:space="preserve"> – Положение о закупках товаров, работ, услуг ПАО «Ростелеком», утвержденное Советом директоров ПАО «Ростелеком», размещенное в установленном порядке </w:t>
        <w:br/>
        <w:t xml:space="preserve">в ЕИС и на сайте Заказчика - </w:t>
      </w:r>
      <w:hyperlink r:id="rId10">
        <w:r>
          <w:rPr>
            <w:rStyle w:val="Style4"/>
          </w:rPr>
          <w:t>https://www.company.rt.ru/</w:t>
        </w:r>
      </w:hyperlink>
      <w:r>
        <w:rPr/>
        <w:t>.</w:t>
      </w:r>
    </w:p>
    <w:p>
      <w:pPr>
        <w:pStyle w:val="Normal"/>
        <w:widowControl/>
        <w:ind w:firstLine="709" w:start="0" w:end="0"/>
        <w:jc w:val="both"/>
        <w:rPr>
          <w:b/>
        </w:rPr>
      </w:pPr>
      <w:r>
        <w:rPr>
          <w:b/>
        </w:rPr>
        <w:t xml:space="preserve">Продукция </w:t>
      </w:r>
      <w:r>
        <w:rPr/>
        <w:t>- товары, работы, услуги, приобретаемые Заказчиком на возмездной основе.</w:t>
      </w:r>
    </w:p>
    <w:p>
      <w:pPr>
        <w:pStyle w:val="Normal"/>
        <w:widowControl/>
        <w:ind w:firstLine="709" w:start="0" w:end="0"/>
        <w:jc w:val="both"/>
        <w:rPr/>
      </w:pPr>
      <w:r>
        <w:rPr>
          <w:b/>
        </w:rPr>
        <w:t>Регламент работы ЭТП</w:t>
      </w:r>
      <w:r>
        <w:rPr/>
        <w:t xml:space="preserve"> – документы оператора ЭТП, регламентирующие порядок проведения закупок на ЭТП в соответствии с Законом № 223-ФЗ, определяющие деятельность оператора ЭТП по обеспечению проведения закупок в соответствии с Законом № 223-ФЗ.</w:t>
      </w:r>
    </w:p>
    <w:p>
      <w:pPr>
        <w:pStyle w:val="Normal"/>
        <w:widowControl/>
        <w:ind w:firstLine="709" w:start="0" w:end="0"/>
        <w:jc w:val="both"/>
        <w:rPr/>
      </w:pPr>
      <w:r>
        <w:rPr>
          <w:b/>
        </w:rPr>
        <w:t>Субъект МСП</w:t>
      </w:r>
      <w:r>
        <w:rPr/>
        <w:t xml:space="preserve"> – юридические лица и индивидуальные предприниматели, отнесенные </w:t>
        <w:br/>
        <w:t xml:space="preserve">в соответствии с условиями, установленными Федеральным законом от 24.07.2007 № 209-ФЗ </w:t>
        <w:br/>
        <w:t>«О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Normal"/>
        <w:widowControl/>
        <w:ind w:firstLine="709" w:start="0" w:end="0"/>
        <w:jc w:val="both"/>
        <w:rPr/>
      </w:pPr>
      <w:r>
        <w:rPr>
          <w:b/>
        </w:rPr>
        <w:t>Участник закупки (участник)</w:t>
      </w:r>
      <w:r>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w:t>
        <w:br/>
        <w:t xml:space="preserve">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за исключением физического лица, являющегося иностранным агентом в соответствии с Федеральным законом от 14 июля 2022 г. </w:t>
        <w:br/>
        <w:t>№ 255-ФЗ «О контроле за деятельностью лиц, находящихся под иностранным влиянием».</w:t>
      </w:r>
    </w:p>
    <w:p>
      <w:pPr>
        <w:pStyle w:val="Normal"/>
        <w:widowControl/>
        <w:ind w:firstLine="709" w:start="0" w:end="0"/>
        <w:jc w:val="both"/>
        <w:rPr/>
      </w:pPr>
      <w:r>
        <w:rPr>
          <w:b/>
        </w:rPr>
        <w:t>Электронная торговая площадка</w:t>
      </w:r>
      <w:r>
        <w:rPr/>
        <w:t xml:space="preserve"> - сайт в информационно-телекоммуникационной </w:t>
        <w:br/>
        <w:t xml:space="preserve">сети «Интернет», на котором проводятся закупки в электронной форме в соответствии с Законом </w:t>
        <w:br/>
        <w:t xml:space="preserve">№ 223-ФЗ, указанный в п. </w:t>
      </w:r>
      <w:r>
        <w:rPr/>
        <w:fldChar w:fldCharType="begin"/>
      </w:r>
      <w:r>
        <w:rPr/>
        <w:instrText xml:space="preserve"> REF _Ref378108959 \r \r \h </w:instrText>
      </w:r>
      <w:r>
        <w:rPr/>
        <w:fldChar w:fldCharType="separate"/>
      </w:r>
      <w:r>
        <w:rPr/>
        <w:t>2</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p>
    <w:p>
      <w:pPr>
        <w:pStyle w:val="Normal"/>
        <w:widowControl/>
        <w:ind w:firstLine="709" w:start="0" w:end="0"/>
        <w:jc w:val="both"/>
        <w:rPr/>
      </w:pPr>
      <w:r>
        <w:rPr>
          <w:b/>
        </w:rPr>
        <w:t>Электронная подпись</w:t>
      </w:r>
      <w: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pPr>
        <w:pStyle w:val="rvps91"/>
        <w:widowControl/>
        <w:ind w:firstLine="709" w:start="0" w:end="0"/>
        <w:rPr/>
      </w:pPr>
      <w:r>
        <w:rPr/>
        <w:tab/>
      </w:r>
    </w:p>
    <w:p>
      <w:pPr>
        <w:pStyle w:val="Normal"/>
        <w:widowControl/>
        <w:ind w:firstLine="709" w:start="0" w:end="0"/>
        <w:jc w:val="both"/>
        <w:rPr/>
      </w:pPr>
      <w:r>
        <w:rPr/>
        <w:t>В настоящей документации применяются следующие сокращения:</w:t>
      </w:r>
    </w:p>
    <w:p>
      <w:pPr>
        <w:pStyle w:val="Normal"/>
        <w:widowControl/>
        <w:ind w:firstLine="709" w:start="0" w:end="0"/>
        <w:jc w:val="both"/>
        <w:rPr/>
      </w:pPr>
      <w:r>
        <w:rPr>
          <w:b/>
        </w:rPr>
        <w:t>ГК РФ</w:t>
      </w:r>
      <w:r>
        <w:rPr/>
        <w:t xml:space="preserve"> – Гражданский кодекс РФ. </w:t>
      </w:r>
    </w:p>
    <w:p>
      <w:pPr>
        <w:pStyle w:val="Normal"/>
        <w:widowControl/>
        <w:ind w:firstLine="709" w:start="0" w:end="0"/>
        <w:jc w:val="both"/>
        <w:rPr/>
      </w:pPr>
      <w:r>
        <w:rPr>
          <w:b/>
        </w:rPr>
        <w:t>Закон № 223-ФЗ</w:t>
      </w:r>
      <w:r>
        <w:rPr/>
        <w:t xml:space="preserve"> – Федеральный закон от 18.07.2011 № 223-ФЗ «О закупках товаров, работ, услуг отдельными видами юридических лиц».</w:t>
      </w:r>
    </w:p>
    <w:p>
      <w:pPr>
        <w:pStyle w:val="Normal"/>
        <w:widowControl/>
        <w:ind w:firstLine="709" w:start="0" w:end="0"/>
        <w:jc w:val="both"/>
        <w:rPr/>
      </w:pPr>
      <w:r>
        <w:rPr>
          <w:b/>
        </w:rPr>
        <w:t>Закон № 63-ФЗ</w:t>
      </w:r>
      <w:r>
        <w:rPr/>
        <w:t xml:space="preserve"> – Федеральный закон от 06.04.2011 № 63-ФЗ «Об электронной подписи».</w:t>
      </w:r>
    </w:p>
    <w:p>
      <w:pPr>
        <w:pStyle w:val="Normal"/>
        <w:widowControl/>
        <w:ind w:firstLine="709" w:start="0" w:end="0"/>
        <w:jc w:val="both"/>
        <w:rPr/>
      </w:pPr>
      <w:r>
        <w:rPr>
          <w:b/>
        </w:rPr>
        <w:t>Закон № 488-ФЗ -</w:t>
      </w:r>
      <w:r>
        <w:rPr/>
        <w:t xml:space="preserve"> Федеральный закон от 31.12.2014. № 488-ФЗ «О промышленной политике в Российской Федерации».</w:t>
      </w:r>
    </w:p>
    <w:p>
      <w:pPr>
        <w:pStyle w:val="Normal"/>
        <w:widowControl/>
        <w:ind w:firstLine="709" w:start="0" w:end="0"/>
        <w:jc w:val="both"/>
        <w:rPr/>
      </w:pPr>
      <w:r>
        <w:rPr>
          <w:b/>
        </w:rPr>
        <w:t>НДС</w:t>
      </w:r>
      <w:r>
        <w:rPr/>
        <w:t xml:space="preserve"> – налог на добавленную стоимость в соответствии с главой 21 Налогового кодекса РФ.</w:t>
      </w:r>
    </w:p>
    <w:p>
      <w:pPr>
        <w:pStyle w:val="Normal"/>
        <w:widowControl/>
        <w:ind w:firstLine="709" w:start="0" w:end="0"/>
        <w:jc w:val="both"/>
        <w:rPr>
          <w:b/>
        </w:rPr>
      </w:pPr>
      <w:r>
        <w:rPr>
          <w:b/>
        </w:rPr>
        <w:t xml:space="preserve">НМЦ, НМЦед </w:t>
      </w:r>
      <w:r>
        <w:rPr/>
        <w:t>– начальная (максимальная) цена, начальная (максимальная) цена единицы продукции.</w:t>
      </w:r>
    </w:p>
    <w:p>
      <w:pPr>
        <w:pStyle w:val="Normal"/>
        <w:widowControl/>
        <w:ind w:firstLine="709" w:start="0" w:end="0"/>
        <w:jc w:val="both"/>
        <w:rPr/>
      </w:pPr>
      <w:r>
        <w:rPr>
          <w:b/>
        </w:rPr>
        <w:t>Положение о закупках</w:t>
      </w:r>
      <w:r>
        <w:rPr/>
        <w:t xml:space="preserve"> – Положение о закупках товаров, работ, услуг ПАО «Ростелеком».</w:t>
      </w:r>
    </w:p>
    <w:p>
      <w:pPr>
        <w:pStyle w:val="Normal"/>
        <w:widowControl/>
        <w:ind w:firstLine="709" w:start="0" w:end="0"/>
        <w:jc w:val="both"/>
        <w:rPr/>
      </w:pPr>
      <w:r>
        <w:rPr>
          <w:b/>
        </w:rPr>
        <w:t xml:space="preserve">Постановление Правительства РФ № 1875 </w:t>
      </w:r>
      <w:r>
        <w:rPr/>
        <w:t>–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widowControl/>
        <w:ind w:firstLine="709" w:start="0" w:end="0"/>
        <w:jc w:val="both"/>
        <w:rPr>
          <w:b/>
        </w:rPr>
      </w:pPr>
      <w:r>
        <w:rPr>
          <w:b/>
        </w:rPr>
        <w:t xml:space="preserve">Постановление Правительства РФ № 719 - </w:t>
      </w:r>
      <w:r>
        <w:rPr/>
        <w:t>постановление Правительства РФ от 17.07.2015 № 719 «О подтверждении производства российской промышленной продукции»</w:t>
      </w:r>
      <w:r>
        <w:rPr>
          <w:b/>
        </w:rPr>
        <w:t xml:space="preserve">. </w:t>
      </w:r>
    </w:p>
    <w:p>
      <w:pPr>
        <w:pStyle w:val="Default1"/>
        <w:widowControl/>
        <w:ind w:firstLine="709" w:start="0" w:end="0"/>
        <w:jc w:val="both"/>
        <w:rPr>
          <w:b/>
        </w:rPr>
      </w:pPr>
      <w:r>
        <w:rPr>
          <w:b/>
        </w:rPr>
        <w:t xml:space="preserve">Постановление Правительства РФ № 325 - </w:t>
      </w:r>
      <w:r>
        <w:rPr/>
        <w:t>постановление Правительства РФ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pPr>
        <w:pStyle w:val="Normal"/>
        <w:widowControl/>
        <w:ind w:firstLine="709" w:start="0" w:end="0"/>
        <w:jc w:val="both"/>
        <w:rPr/>
      </w:pPr>
      <w:r>
        <w:rPr>
          <w:b/>
        </w:rPr>
        <w:t>РФ</w:t>
      </w:r>
      <w:r>
        <w:rPr/>
        <w:t xml:space="preserve"> – Российская Федерация.</w:t>
      </w:r>
    </w:p>
    <w:p>
      <w:pPr>
        <w:pStyle w:val="Normal"/>
        <w:widowControl/>
        <w:ind w:firstLine="709" w:start="0" w:end="0"/>
        <w:jc w:val="both"/>
        <w:rPr/>
      </w:pPr>
      <w:r>
        <w:rPr>
          <w:b/>
        </w:rPr>
        <w:t>ЭТП</w:t>
      </w:r>
      <w:r>
        <w:rPr/>
        <w:t xml:space="preserve"> – электронная торговая площадка.</w:t>
      </w:r>
    </w:p>
    <w:p>
      <w:pPr>
        <w:sectPr>
          <w:type w:val="nextPage"/>
          <w:pgSz w:w="11906" w:h="16838"/>
          <w:pgMar w:left="1304" w:right="737" w:gutter="0" w:header="0" w:top="1134" w:footer="0" w:bottom="1134"/>
          <w:pgNumType w:fmt="decimal"/>
          <w:formProt w:val="false"/>
          <w:textDirection w:val="lrTb"/>
          <w:docGrid w:type="default" w:linePitch="100" w:charSpace="0"/>
        </w:sectPr>
        <w:pStyle w:val="Normal"/>
        <w:widowControl/>
        <w:ind w:firstLine="709" w:start="0" w:end="0"/>
        <w:jc w:val="both"/>
        <w:rPr/>
      </w:pPr>
      <w:r>
        <w:rPr>
          <w:b/>
        </w:rPr>
        <w:t>ЭП</w:t>
      </w:r>
      <w:r>
        <w:rPr/>
        <w:t xml:space="preserve"> – электронная подпись.</w:t>
      </w:r>
    </w:p>
    <w:p>
      <w:pPr>
        <w:pStyle w:val="NormalWeb1"/>
        <w:keepNext w:val="true"/>
        <w:widowControl/>
        <w:numPr>
          <w:ilvl w:val="0"/>
          <w:numId w:val="1"/>
        </w:numPr>
        <w:tabs>
          <w:tab w:val="clear" w:pos="720"/>
          <w:tab w:val="left" w:pos="1418" w:leader="none"/>
          <w:tab w:val="left" w:pos="2912" w:leader="none"/>
        </w:tabs>
        <w:spacing w:before="120" w:after="0"/>
        <w:ind w:hanging="360" w:start="360" w:end="0"/>
        <w:jc w:val="center"/>
        <w:outlineLvl w:val="1"/>
        <w:rPr>
          <w:b/>
          <w:sz w:val="28"/>
        </w:rPr>
      </w:pPr>
      <w:bookmarkStart w:id="5" w:name="__RefHeading___3"/>
      <w:bookmarkStart w:id="6" w:name="_РАЗДЕЛ_II._СВЕДЕНИЯ"/>
      <w:bookmarkStart w:id="7" w:name="_РАЗДЕЛ_II._ИНФОРМАЦИОННАЯ"/>
      <w:bookmarkEnd w:id="5"/>
      <w:bookmarkEnd w:id="6"/>
      <w:bookmarkEnd w:id="7"/>
      <w:r>
        <w:rPr>
          <w:b/>
          <w:sz w:val="28"/>
        </w:rPr>
        <w:t>ОБЩИЕ ПОЛОЖЕНИЯ</w:t>
      </w:r>
    </w:p>
    <w:p>
      <w:pPr>
        <w:pStyle w:val="NormalWeb1"/>
        <w:keepNext w:val="true"/>
        <w:widowControl/>
        <w:numPr>
          <w:ilvl w:val="1"/>
          <w:numId w:val="1"/>
        </w:numPr>
        <w:tabs>
          <w:tab w:val="clear" w:pos="720"/>
          <w:tab w:val="left" w:pos="502" w:leader="none"/>
          <w:tab w:val="left" w:pos="1418" w:leader="none"/>
        </w:tabs>
        <w:spacing w:before="0" w:after="0"/>
        <w:ind w:firstLine="709" w:start="0" w:end="0"/>
        <w:jc w:val="both"/>
        <w:outlineLvl w:val="1"/>
        <w:rPr>
          <w:b/>
        </w:rPr>
      </w:pPr>
      <w:bookmarkStart w:id="8" w:name="__RefHeading___4"/>
      <w:bookmarkStart w:id="9" w:name="_Ref126000848"/>
      <w:bookmarkEnd w:id="8"/>
      <w:r>
        <w:rPr>
          <w:b/>
        </w:rPr>
        <w:t>Предмет закупки</w:t>
      </w:r>
    </w:p>
    <w:p>
      <w:pPr>
        <w:pStyle w:val="Normal"/>
        <w:widowControl/>
        <w:numPr>
          <w:ilvl w:val="2"/>
          <w:numId w:val="1"/>
        </w:numPr>
        <w:tabs>
          <w:tab w:val="clear" w:pos="720"/>
          <w:tab w:val="left" w:pos="960" w:leader="none"/>
        </w:tabs>
        <w:ind w:firstLine="709" w:start="0" w:end="0"/>
        <w:jc w:val="both"/>
        <w:rPr/>
      </w:pPr>
      <w:bookmarkStart w:id="10" w:name="_Ref57203042"/>
      <w:r>
        <w:rPr/>
        <w:t xml:space="preserve">Предмет закупки указан в п. </w:t>
      </w:r>
      <w:r>
        <w:rPr/>
        <w:fldChar w:fldCharType="begin"/>
      </w:r>
      <w:r>
        <w:rPr/>
        <w:instrText xml:space="preserve"> REF _Ref55316657 \r \r \h </w:instrText>
      </w:r>
      <w:r>
        <w:rPr/>
        <w:fldChar w:fldCharType="separate"/>
      </w:r>
      <w:r>
        <w:rPr/>
        <w:t>5</w:t>
      </w:r>
      <w:r>
        <w:rPr/>
        <w:fldChar w:fldCharType="end"/>
      </w:r>
      <w:r>
        <w:rPr/>
        <w:t xml:space="preserve"> раздела </w:t>
      </w:r>
      <w:hyperlink w:anchor="_РАЗДЕЛ_II._ИНФОРМАЦИОННАЯ_1">
        <w:r>
          <w:rPr>
            <w:rStyle w:val="Style4"/>
          </w:rPr>
          <w:t>II «ИНФОРМАЦИОННАЯ КАРТА»</w:t>
        </w:r>
      </w:hyperlink>
      <w:r>
        <w:rPr/>
        <w:t xml:space="preserve"> настоящей документации. Количество лотов указано в п. </w:t>
      </w:r>
      <w:r>
        <w:rPr/>
        <w:fldChar w:fldCharType="begin"/>
      </w:r>
      <w:r>
        <w:rPr/>
        <w:instrText xml:space="preserve"> REF _Ref55316542 \r \r \h </w:instrText>
      </w:r>
      <w:r>
        <w:rPr/>
        <w:fldChar w:fldCharType="separate"/>
      </w:r>
      <w:r>
        <w:rPr/>
        <w:t>3</w:t>
      </w:r>
      <w:r>
        <w:rPr/>
        <w:fldChar w:fldCharType="end"/>
      </w:r>
      <w:r>
        <w:rPr/>
        <w:t xml:space="preserve"> раздела </w:t>
      </w:r>
      <w:hyperlink w:anchor="_РАЗДЕЛ_II._ИНФОРМАЦИОННАЯ_1">
        <w:r>
          <w:rPr>
            <w:rStyle w:val="Style4"/>
          </w:rPr>
          <w:t>II «ИНФОРМАЦИОННАЯ КАРТА»</w:t>
        </w:r>
      </w:hyperlink>
      <w:r>
        <w:rPr/>
        <w:t xml:space="preserve"> настоящей документации.</w:t>
      </w:r>
      <w:bookmarkEnd w:id="10"/>
    </w:p>
    <w:p>
      <w:pPr>
        <w:pStyle w:val="Normal"/>
        <w:widowControl/>
        <w:numPr>
          <w:ilvl w:val="2"/>
          <w:numId w:val="1"/>
        </w:numPr>
        <w:tabs>
          <w:tab w:val="clear" w:pos="720"/>
          <w:tab w:val="left" w:pos="960" w:leader="none"/>
        </w:tabs>
        <w:ind w:firstLine="709" w:start="0" w:end="0"/>
        <w:jc w:val="both"/>
        <w:rPr/>
      </w:pPr>
      <w:r>
        <w:rPr/>
        <w:t xml:space="preserve">Количество поставляемых товаров, объем выполняемых работ, оказываемых услуг,  место и сроки (периоды) поставки товара, выполнения работы, оказания услуг,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разделах </w:t>
      </w:r>
      <w:hyperlink w:anchor="_РАЗДЕЛ_IV._ТЕХНИЧЕСКОЕ_1">
        <w:r>
          <w:rPr>
            <w:rStyle w:val="Style4"/>
          </w:rPr>
          <w:t>IV. «ТЕХНИЧЕСКОЕ ЗАДАНИЕ»</w:t>
        </w:r>
      </w:hyperlink>
      <w:r>
        <w:rPr/>
        <w:t xml:space="preserve"> и V. «ПРОЕКТ ДОГОВОРА» документации.</w:t>
      </w:r>
    </w:p>
    <w:p>
      <w:pPr>
        <w:pStyle w:val="Normal"/>
        <w:widowControl/>
        <w:numPr>
          <w:ilvl w:val="2"/>
          <w:numId w:val="1"/>
        </w:numPr>
        <w:tabs>
          <w:tab w:val="clear" w:pos="720"/>
          <w:tab w:val="left" w:pos="960" w:leader="none"/>
        </w:tabs>
        <w:ind w:firstLine="709" w:start="0" w:end="0"/>
        <w:jc w:val="both"/>
        <w:rPr/>
      </w:pPr>
      <w:r>
        <w:rPr/>
        <w:t>Проект договора, который будет заключен по результатам процедуры закупки, представлен в разделе V. «ПРОЕКТ ДОГОВОРА» документации.</w:t>
      </w:r>
    </w:p>
    <w:p>
      <w:pPr>
        <w:pStyle w:val="Normal"/>
        <w:widowControl/>
        <w:numPr>
          <w:ilvl w:val="2"/>
          <w:numId w:val="1"/>
        </w:numPr>
        <w:tabs>
          <w:tab w:val="clear" w:pos="720"/>
          <w:tab w:val="left" w:pos="960" w:leader="none"/>
        </w:tabs>
        <w:ind w:firstLine="709" w:start="0" w:end="0"/>
        <w:jc w:val="both"/>
        <w:rPr/>
      </w:pPr>
      <w:bookmarkStart w:id="11" w:name="_Ref57203048"/>
      <w:bookmarkStart w:id="12" w:name="_Ref57201783"/>
      <w:r>
        <w:rPr/>
        <w:t>Форма, сроки и порядок оплаты товара, работы, услуги определены в разделе V. «ПРОЕКТ ДОГОВОРА» настоящей документации.</w:t>
      </w:r>
      <w:bookmarkEnd w:id="12"/>
    </w:p>
    <w:p>
      <w:pPr>
        <w:pStyle w:val="Normal"/>
        <w:widowControl/>
        <w:numPr>
          <w:ilvl w:val="2"/>
          <w:numId w:val="1"/>
        </w:numPr>
        <w:tabs>
          <w:tab w:val="clear" w:pos="720"/>
          <w:tab w:val="left" w:pos="960" w:leader="none"/>
        </w:tabs>
        <w:ind w:firstLine="709" w:start="0" w:end="0"/>
        <w:jc w:val="both"/>
        <w:rPr/>
      </w:pPr>
      <w:r>
        <w:rPr/>
        <w:t xml:space="preserve">По результатам проведения настоящей процедуры закупки может быть заключено несколько договоров с несколькими участниками закупки (лота), при этом все такие участники признаются победителями закупки. Максимально возможное количество победителей, а также распределение объема предмета закупки в натуральном и/или денежном выражении между победителями закупки указано в п. </w:t>
      </w:r>
      <w:r>
        <w:rPr/>
        <w:fldChar w:fldCharType="begin"/>
      </w:r>
      <w:r>
        <w:rPr/>
        <w:instrText xml:space="preserve"> REF _Ref55316833 \r \r \h </w:instrText>
      </w:r>
      <w:r>
        <w:rPr/>
        <w:fldChar w:fldCharType="separate"/>
      </w:r>
      <w:r>
        <w:rPr/>
        <w:t>4</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bookmarkEnd w:id="11"/>
    </w:p>
    <w:p>
      <w:pPr>
        <w:pStyle w:val="NormalWeb1"/>
        <w:keepNext w:val="true"/>
        <w:widowControl/>
        <w:numPr>
          <w:ilvl w:val="1"/>
          <w:numId w:val="1"/>
        </w:numPr>
        <w:tabs>
          <w:tab w:val="clear" w:pos="720"/>
          <w:tab w:val="left" w:pos="502" w:leader="none"/>
          <w:tab w:val="left" w:pos="1418" w:leader="none"/>
        </w:tabs>
        <w:spacing w:before="120" w:after="0"/>
        <w:ind w:firstLine="709" w:start="0" w:end="0"/>
        <w:jc w:val="both"/>
        <w:outlineLvl w:val="1"/>
        <w:rPr>
          <w:b/>
        </w:rPr>
      </w:pPr>
      <w:bookmarkStart w:id="13" w:name="__RefHeading___5"/>
      <w:bookmarkEnd w:id="13"/>
      <w:r>
        <w:rPr>
          <w:b/>
        </w:rPr>
        <w:t>Правовая основа закупки</w:t>
      </w:r>
    </w:p>
    <w:p>
      <w:pPr>
        <w:pStyle w:val="Normal"/>
        <w:widowControl/>
        <w:numPr>
          <w:ilvl w:val="2"/>
          <w:numId w:val="1"/>
        </w:numPr>
        <w:tabs>
          <w:tab w:val="clear" w:pos="720"/>
          <w:tab w:val="left" w:pos="960" w:leader="none"/>
        </w:tabs>
        <w:ind w:firstLine="709" w:start="0" w:end="0"/>
        <w:jc w:val="both"/>
        <w:rPr/>
      </w:pPr>
      <w:r>
        <w:rPr/>
        <w:t xml:space="preserve">Настоящая документация подготовлена в соответствии с Законом № 223-ФЗ, другими федеральными законами и иными нормативными правовыми актами РФ, регулирующими вопросы закупочной деятельности Заказчика, а также </w:t>
      </w:r>
      <w:hyperlink r:id="rId11">
        <w:r>
          <w:rPr>
            <w:rStyle w:val="Style4"/>
          </w:rPr>
          <w:t>Положением о закупках</w:t>
        </w:r>
      </w:hyperlink>
      <w:r>
        <w:rPr/>
        <w:t>.</w:t>
      </w:r>
      <w:bookmarkEnd w:id="9"/>
    </w:p>
    <w:p>
      <w:pPr>
        <w:pStyle w:val="Normal"/>
        <w:widowControl/>
        <w:numPr>
          <w:ilvl w:val="2"/>
          <w:numId w:val="1"/>
        </w:numPr>
        <w:tabs>
          <w:tab w:val="clear" w:pos="720"/>
          <w:tab w:val="left" w:pos="960" w:leader="none"/>
        </w:tabs>
        <w:ind w:firstLine="709" w:start="0" w:end="0"/>
        <w:jc w:val="both"/>
        <w:rPr/>
      </w:pPr>
      <w:r>
        <w:rPr/>
        <w:t>Во всем, что не урегулировано извещением, настоящей документацией, Заказчик и участники руководствуются Законом № 223-ФЗ, другими федеральными законами и иными нормативными правовыми актами РФ, прямо относящимися к предмету регулирования настоящей процедуры закупки, а также регламентом ЭТП.</w:t>
      </w:r>
    </w:p>
    <w:p>
      <w:pPr>
        <w:pStyle w:val="Normal"/>
        <w:widowControl/>
        <w:numPr>
          <w:ilvl w:val="2"/>
          <w:numId w:val="1"/>
        </w:numPr>
        <w:tabs>
          <w:tab w:val="clear" w:pos="720"/>
          <w:tab w:val="left" w:pos="960" w:leader="none"/>
        </w:tabs>
        <w:ind w:firstLine="709" w:start="0" w:end="0"/>
        <w:jc w:val="both"/>
        <w:rPr/>
      </w:pPr>
      <w:r>
        <w:rPr/>
        <w:t>Закупка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ГК РФ, и не накладывает на Заказчика обязательств, установленных указанными статьями ГК РФ.</w:t>
      </w:r>
    </w:p>
    <w:p>
      <w:pPr>
        <w:pStyle w:val="rvps91"/>
        <w:rPr>
          <w:i/>
          <w:i/>
          <w:color w:val="BFBFBF"/>
          <w:sz w:val="12"/>
        </w:rPr>
      </w:pPr>
      <w:r>
        <w:rPr>
          <w:i/>
          <w:color w:val="BFBFBF"/>
          <w:sz w:val="12"/>
        </w:rPr>
      </w:r>
    </w:p>
    <w:p>
      <w:pPr>
        <w:pStyle w:val="NormalWeb1"/>
        <w:keepNext w:val="true"/>
        <w:widowControl/>
        <w:numPr>
          <w:ilvl w:val="1"/>
          <w:numId w:val="1"/>
        </w:numPr>
        <w:tabs>
          <w:tab w:val="clear" w:pos="720"/>
          <w:tab w:val="left" w:pos="502" w:leader="none"/>
          <w:tab w:val="left" w:pos="1418" w:leader="none"/>
        </w:tabs>
        <w:spacing w:before="120" w:after="0"/>
        <w:ind w:firstLine="709" w:start="0" w:end="0"/>
        <w:jc w:val="both"/>
        <w:outlineLvl w:val="1"/>
        <w:rPr>
          <w:b/>
        </w:rPr>
      </w:pPr>
      <w:bookmarkStart w:id="14" w:name="__RefHeading___6"/>
      <w:bookmarkEnd w:id="14"/>
      <w:r>
        <w:rPr>
          <w:b/>
        </w:rPr>
        <w:t>Информационное обеспечение закупки</w:t>
      </w:r>
    </w:p>
    <w:p>
      <w:pPr>
        <w:pStyle w:val="Normal"/>
        <w:widowControl/>
        <w:numPr>
          <w:ilvl w:val="2"/>
          <w:numId w:val="1"/>
        </w:numPr>
        <w:tabs>
          <w:tab w:val="clear" w:pos="720"/>
          <w:tab w:val="left" w:pos="1276" w:leader="none"/>
        </w:tabs>
        <w:ind w:firstLine="709" w:start="0" w:end="0"/>
        <w:jc w:val="both"/>
        <w:rPr/>
      </w:pPr>
      <w:r>
        <w:rPr/>
        <w:t>Информация и документы по данной закупке публикуются на ЭТП и на сайте Заказчика (</w:t>
      </w:r>
      <w:hyperlink r:id="rId12">
        <w:r>
          <w:rPr>
            <w:rStyle w:val="Style4"/>
          </w:rPr>
          <w:t>https://zakupki.rostelecom.ru/</w:t>
        </w:r>
      </w:hyperlink>
      <w:r>
        <w:rPr/>
        <w:t>). Официальным источником информации о ходе и результатах закупки является ЭТП.</w:t>
      </w:r>
    </w:p>
    <w:p>
      <w:pPr>
        <w:pStyle w:val="Normal"/>
        <w:widowControl/>
        <w:numPr>
          <w:ilvl w:val="2"/>
          <w:numId w:val="1"/>
        </w:numPr>
        <w:tabs>
          <w:tab w:val="clear" w:pos="720"/>
          <w:tab w:val="left" w:pos="960" w:leader="none"/>
          <w:tab w:val="left" w:pos="1276" w:leader="none"/>
        </w:tabs>
        <w:ind w:firstLine="709" w:start="0" w:end="0"/>
        <w:jc w:val="both"/>
        <w:rPr/>
      </w:pPr>
      <w:r>
        <w:rPr/>
        <w:t>Участники должны самостоятельно отслеживать опубликованные на ЭТП разъяснения и изменения извещения и документации, информацию о принятых в ходе закупки решениях Заказчика.</w:t>
      </w:r>
    </w:p>
    <w:p>
      <w:pPr>
        <w:pStyle w:val="Normal"/>
        <w:widowControl/>
        <w:numPr>
          <w:ilvl w:val="2"/>
          <w:numId w:val="1"/>
        </w:numPr>
        <w:tabs>
          <w:tab w:val="clear" w:pos="720"/>
          <w:tab w:val="left" w:pos="960" w:leader="none"/>
          <w:tab w:val="left" w:pos="1276" w:leader="none"/>
        </w:tabs>
        <w:ind w:firstLine="709" w:start="0" w:end="0"/>
        <w:jc w:val="both"/>
        <w:rPr/>
      </w:pPr>
      <w:r>
        <w:rPr/>
        <w:t xml:space="preserve">При осуществлении закупки на ЭТП оператором ЭТП обеспечивается направление участниками запросов о даче разъяснений положений извещения и (или) документации, размещение на ЭТП таких разъяснений, подача участниками заявок, предоставление членам Закупочной комиссии доступа к указанным заявкам, сопоставление ценовых предложений участников, формирование проектов протоколов, составляемых в соответствии с Законом </w:t>
        <w:br/>
        <w:t>№ 223-ФЗ.</w:t>
      </w:r>
    </w:p>
    <w:p>
      <w:pPr>
        <w:pStyle w:val="Normal"/>
        <w:widowControl/>
        <w:numPr>
          <w:ilvl w:val="2"/>
          <w:numId w:val="1"/>
        </w:numPr>
        <w:tabs>
          <w:tab w:val="clear" w:pos="720"/>
          <w:tab w:val="left" w:pos="960" w:leader="none"/>
        </w:tabs>
        <w:ind w:firstLine="709" w:start="0" w:end="0"/>
        <w:jc w:val="both"/>
        <w:rPr/>
      </w:pPr>
      <w:r>
        <w:rPr/>
        <w:t>Обмен между участником, Заказчиком и оператором ЭТП информацией, связанной с получением аккредитации на ЭТП, проведением закупки, осуществляется на ЭТП в форме электронных документов.</w:t>
      </w:r>
    </w:p>
    <w:p>
      <w:pPr>
        <w:pStyle w:val="Normal"/>
        <w:widowControl/>
        <w:numPr>
          <w:ilvl w:val="2"/>
          <w:numId w:val="1"/>
        </w:numPr>
        <w:tabs>
          <w:tab w:val="clear" w:pos="720"/>
          <w:tab w:val="left" w:pos="960" w:leader="none"/>
        </w:tabs>
        <w:ind w:firstLine="709" w:start="0" w:end="0"/>
        <w:jc w:val="both"/>
        <w:rPr/>
      </w:pPr>
      <w:r>
        <w:rPr/>
        <w:t>Электронные документы участника, Заказчика, оператора ЭТП должны быть подписаны усиленной квалифицированной электронной подписью лица, имеющего право действовать от имени соответственно участника, Заказчика, оператора ЭТП полученной в порядке, установленном в Законе № 63-ФЗ.</w:t>
      </w:r>
    </w:p>
    <w:p>
      <w:pPr>
        <w:pStyle w:val="Normal"/>
        <w:widowControl/>
        <w:numPr>
          <w:ilvl w:val="2"/>
          <w:numId w:val="1"/>
        </w:numPr>
        <w:tabs>
          <w:tab w:val="clear" w:pos="720"/>
          <w:tab w:val="left" w:pos="960" w:leader="none"/>
        </w:tabs>
        <w:ind w:firstLine="709" w:start="0" w:end="0"/>
        <w:jc w:val="both"/>
        <w:rPr/>
      </w:pPr>
      <w:r>
        <w:rPr/>
        <w:t>Извещения об отказе от проведения закупки, изменений, внесенных в извещение, документацию, разъяснений положений документации оператор ЭТП размещает на ЭТП, направляет уведомление об указанных изменениях, разъяснениях всем участникам в электронной форме, подавшим заявки, уведомление об указанных разъяснениях также лицу, направившему запрос о даче разъяснений положений извещения, документации, уведомление об указанных запросах о разъяснении положений заявки по адресам электронной почты, указанным этими частниками при аккредитации на ЭТП или этим лицом при направлении запроса.</w:t>
      </w:r>
    </w:p>
    <w:p>
      <w:pPr>
        <w:pStyle w:val="Normal"/>
        <w:widowControl/>
        <w:ind w:hanging="0" w:start="709" w:end="0"/>
        <w:jc w:val="both"/>
        <w:rPr/>
      </w:pPr>
      <w:r>
        <w:rPr/>
      </w:r>
    </w:p>
    <w:p>
      <w:pPr>
        <w:pStyle w:val="NormalWeb1"/>
        <w:keepNext w:val="true"/>
        <w:widowControl/>
        <w:numPr>
          <w:ilvl w:val="0"/>
          <w:numId w:val="1"/>
        </w:numPr>
        <w:tabs>
          <w:tab w:val="clear" w:pos="720"/>
          <w:tab w:val="left" w:pos="1418" w:leader="none"/>
          <w:tab w:val="left" w:pos="2912" w:leader="none"/>
        </w:tabs>
        <w:spacing w:before="120" w:after="0"/>
        <w:ind w:hanging="360" w:start="360" w:end="0"/>
        <w:jc w:val="center"/>
        <w:outlineLvl w:val="1"/>
        <w:rPr>
          <w:b/>
          <w:sz w:val="28"/>
        </w:rPr>
      </w:pPr>
      <w:bookmarkStart w:id="15" w:name="__RefHeading___7"/>
      <w:bookmarkStart w:id="16" w:name="_Ref441222309"/>
      <w:bookmarkEnd w:id="15"/>
      <w:bookmarkEnd w:id="16"/>
      <w:r>
        <w:rPr>
          <w:b/>
          <w:sz w:val="28"/>
        </w:rPr>
        <w:t>ТРЕБОВАНИЯ К УЧАСТНИКУ, А ТАКЖЕ К ДОКУМЕНТАМ, ПОДТВЕРЖДАЮЩИМ ДАННЫЕ ТРЕБОВАНИЯ</w:t>
      </w:r>
    </w:p>
    <w:p>
      <w:pPr>
        <w:pStyle w:val="NormalWeb1"/>
        <w:keepNext w:val="true"/>
        <w:widowControl/>
        <w:numPr>
          <w:ilvl w:val="1"/>
          <w:numId w:val="1"/>
        </w:numPr>
        <w:tabs>
          <w:tab w:val="clear" w:pos="720"/>
          <w:tab w:val="left" w:pos="1069" w:leader="none"/>
        </w:tabs>
        <w:spacing w:before="0" w:after="0"/>
        <w:ind w:hanging="360" w:start="1069" w:end="0"/>
        <w:jc w:val="both"/>
        <w:outlineLvl w:val="1"/>
        <w:rPr>
          <w:b/>
        </w:rPr>
      </w:pPr>
      <w:bookmarkStart w:id="17" w:name="__RefHeading___8"/>
      <w:bookmarkEnd w:id="17"/>
      <w:r>
        <w:rPr>
          <w:b/>
        </w:rPr>
        <w:t xml:space="preserve"> </w:t>
      </w:r>
      <w:r>
        <w:rPr>
          <w:b/>
        </w:rPr>
        <w:t>Участие в закупке</w:t>
      </w:r>
    </w:p>
    <w:p>
      <w:pPr>
        <w:pStyle w:val="Normal"/>
        <w:widowControl/>
        <w:numPr>
          <w:ilvl w:val="2"/>
          <w:numId w:val="1"/>
        </w:numPr>
        <w:tabs>
          <w:tab w:val="clear" w:pos="720"/>
          <w:tab w:val="left" w:pos="960" w:leader="none"/>
        </w:tabs>
        <w:ind w:firstLine="709" w:start="0" w:end="0"/>
        <w:jc w:val="both"/>
        <w:rPr/>
      </w:pPr>
      <w:r>
        <w:rPr/>
        <w:t>Для участия в настоящей процедуре закупки участник должен удовлетворять требованиям, установленным настоящей документацией, подготовить и подать заявку на участие в закупке, соответствующую требованиям настоящей документации, в порядке, установленном настоящей документацией.</w:t>
      </w:r>
    </w:p>
    <w:p>
      <w:pPr>
        <w:pStyle w:val="Normal"/>
        <w:widowControl/>
        <w:numPr>
          <w:ilvl w:val="2"/>
          <w:numId w:val="1"/>
        </w:numPr>
        <w:tabs>
          <w:tab w:val="clear" w:pos="720"/>
          <w:tab w:val="left" w:pos="960" w:leader="none"/>
        </w:tabs>
        <w:ind w:firstLine="709" w:start="0" w:end="0"/>
        <w:jc w:val="both"/>
        <w:rPr/>
      </w:pPr>
      <w:r>
        <w:rPr/>
        <w:t>Участнику для участия в закупке необходимо получить аккредитацию на ЭТП в порядке, установленном оператором ЭТП и регламентом ЭТП.</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18" w:name="__RefHeading___9"/>
      <w:bookmarkEnd w:id="18"/>
      <w:r>
        <w:rPr>
          <w:b/>
        </w:rPr>
        <w:t xml:space="preserve"> </w:t>
      </w:r>
      <w:bookmarkStart w:id="19" w:name="_Ref55316993"/>
      <w:r>
        <w:rPr>
          <w:b/>
        </w:rPr>
        <w:t>Требования к участнику, а также к документам, подтверждающим данные требования</w:t>
      </w:r>
      <w:bookmarkEnd w:id="19"/>
    </w:p>
    <w:p>
      <w:pPr>
        <w:pStyle w:val="Normal"/>
        <w:widowControl/>
        <w:numPr>
          <w:ilvl w:val="2"/>
          <w:numId w:val="1"/>
        </w:numPr>
        <w:tabs>
          <w:tab w:val="clear" w:pos="720"/>
          <w:tab w:val="left" w:pos="960" w:leader="none"/>
        </w:tabs>
        <w:ind w:firstLine="709" w:start="0" w:end="0"/>
        <w:jc w:val="both"/>
        <w:rPr/>
      </w:pPr>
      <w:bookmarkStart w:id="20" w:name="_Ref57203148"/>
      <w:bookmarkStart w:id="21" w:name="_Ref55289922"/>
      <w:r>
        <w:rPr/>
        <w:t xml:space="preserve">Участник закупки должен соответствовать общим, дополнительным (при наличии) требованиям, установленным п. </w:t>
      </w:r>
      <w:r>
        <w:rPr/>
        <w:fldChar w:fldCharType="begin"/>
      </w:r>
      <w:r>
        <w:rPr/>
        <w:instrText xml:space="preserve"> REF _Ref55317066 \r \r \h </w:instrText>
      </w:r>
      <w:r>
        <w:rPr/>
        <w:fldChar w:fldCharType="separate"/>
      </w:r>
      <w:r>
        <w:rPr/>
        <w:t>10</w:t>
      </w:r>
      <w:r>
        <w:rPr/>
        <w:fldChar w:fldCharType="end"/>
      </w:r>
      <w:r>
        <w:rPr/>
        <w:t xml:space="preserve"> раздела </w:t>
      </w:r>
      <w:hyperlink w:anchor="_РАЗДЕЛ_II._ИНФОРМАЦИОННАЯ_1">
        <w:r>
          <w:rPr>
            <w:rStyle w:val="Style4"/>
          </w:rPr>
          <w:t>II «ИНФОРМАЦИОННАЯ КАРТА»</w:t>
        </w:r>
      </w:hyperlink>
      <w:r>
        <w:rPr/>
        <w:t>, и предоставить в составе заявки подтверждающие следующие документы</w:t>
      </w:r>
      <w:bookmarkEnd w:id="21"/>
      <w:r>
        <w:rPr/>
        <w:t xml:space="preserve"> в соответствии с п. </w:t>
      </w:r>
      <w:r>
        <w:rPr/>
        <w:fldChar w:fldCharType="begin"/>
      </w:r>
      <w:r>
        <w:rPr/>
        <w:instrText xml:space="preserve"> REF _Ref55317066 \r \r \h </w:instrText>
      </w:r>
      <w:r>
        <w:rPr/>
        <w:fldChar w:fldCharType="separate"/>
      </w:r>
      <w:r>
        <w:rPr/>
        <w:t>10</w:t>
      </w:r>
      <w:r>
        <w:rPr/>
        <w:fldChar w:fldCharType="end"/>
      </w:r>
      <w:r>
        <w:rPr/>
        <w:t xml:space="preserve"> раздела </w:t>
      </w:r>
      <w:hyperlink w:anchor="_РАЗДЕЛ_II._ИНФОРМАЦИОННАЯ_1">
        <w:r>
          <w:rPr>
            <w:rStyle w:val="Style4"/>
          </w:rPr>
          <w:t>II «ИНФОРМАЦИОННАЯ КАРТА»</w:t>
        </w:r>
      </w:hyperlink>
      <w:r>
        <w:rPr/>
        <w:t>.</w:t>
      </w:r>
      <w:bookmarkEnd w:id="20"/>
    </w:p>
    <w:p>
      <w:pPr>
        <w:pStyle w:val="Normal"/>
        <w:widowControl/>
        <w:numPr>
          <w:ilvl w:val="2"/>
          <w:numId w:val="1"/>
        </w:numPr>
        <w:tabs>
          <w:tab w:val="clear" w:pos="720"/>
          <w:tab w:val="left" w:pos="960" w:leader="none"/>
        </w:tabs>
        <w:ind w:firstLine="709" w:start="0" w:end="0"/>
        <w:jc w:val="both"/>
        <w:rPr/>
      </w:pPr>
      <w:bookmarkStart w:id="22" w:name="_Ref57203164"/>
      <w:r>
        <w:rPr/>
        <w:t xml:space="preserve">Полный состав заявки на участие в закупке указан в п. </w:t>
      </w:r>
      <w:r>
        <w:rPr/>
        <w:fldChar w:fldCharType="begin"/>
      </w:r>
      <w:r>
        <w:rPr/>
        <w:instrText xml:space="preserve"> REF _Ref55317127 \r \r \h </w:instrText>
      </w:r>
      <w:r>
        <w:rPr/>
        <w:fldChar w:fldCharType="separate"/>
      </w:r>
      <w:r>
        <w:rPr/>
        <w:t>12</w:t>
      </w:r>
      <w:r>
        <w:rPr/>
        <w:fldChar w:fldCharType="end"/>
      </w:r>
      <w:r>
        <w:rPr/>
        <w:t xml:space="preserve"> раздела </w:t>
      </w:r>
      <w:hyperlink w:anchor="_РАЗДЕЛ_II._ИНФОРМАЦИОННАЯ_1">
        <w:r>
          <w:rPr>
            <w:rStyle w:val="Style4"/>
          </w:rPr>
          <w:t>II «ИНФОРМАЦИОННАЯ КАРТА»</w:t>
        </w:r>
      </w:hyperlink>
      <w:r>
        <w:rPr/>
        <w:t>.</w:t>
      </w:r>
      <w:bookmarkEnd w:id="22"/>
    </w:p>
    <w:p>
      <w:pPr>
        <w:pStyle w:val="Normal"/>
        <w:widowControl/>
        <w:numPr>
          <w:ilvl w:val="2"/>
          <w:numId w:val="1"/>
        </w:numPr>
        <w:tabs>
          <w:tab w:val="clear" w:pos="720"/>
          <w:tab w:val="left" w:pos="960" w:leader="none"/>
        </w:tabs>
        <w:ind w:firstLine="709" w:start="0" w:end="0"/>
        <w:jc w:val="both"/>
        <w:rPr/>
      </w:pPr>
      <w:r>
        <w:rPr/>
        <w:t>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Соответствие дополнительным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p>
      <w:pPr>
        <w:pStyle w:val="Normal"/>
        <w:widowControl/>
        <w:numPr>
          <w:ilvl w:val="2"/>
          <w:numId w:val="1"/>
        </w:numPr>
        <w:tabs>
          <w:tab w:val="clear" w:pos="720"/>
          <w:tab w:val="left" w:pos="960" w:leader="none"/>
        </w:tabs>
        <w:ind w:firstLine="709" w:start="0" w:end="0"/>
        <w:jc w:val="both"/>
        <w:rPr/>
      </w:pPr>
      <w:bookmarkStart w:id="23" w:name="_Ref55325645"/>
      <w:r>
        <w:rPr/>
        <w:t>В случае, если на стороне участника выступает несколько юридических лиц (несколько индивидуальных предпринимателей либо несколько физических лиц), то для подтверждения соответствия требованиям, установленным настоящей документацией, в составе заявки предоставляется соглашение таких лиц, в котором в частности должны быть определены следующие условия:</w:t>
      </w:r>
      <w:bookmarkEnd w:id="23"/>
    </w:p>
    <w:p>
      <w:pPr>
        <w:pStyle w:val="Normal"/>
        <w:widowControl/>
        <w:ind w:firstLine="709" w:start="0" w:end="0"/>
        <w:jc w:val="both"/>
        <w:rPr/>
      </w:pPr>
      <w:r>
        <w:rPr/>
        <w:t>а) об участии на стороне одного участника нескольких лиц, с указанием фирменного наименования, ИНН, ОГРН, места нахождения, почтового адреса, электронной почты, контактных телефонов таких лиц;</w:t>
      </w:r>
    </w:p>
    <w:p>
      <w:pPr>
        <w:pStyle w:val="Normal"/>
        <w:widowControl/>
        <w:ind w:firstLine="709" w:start="0" w:end="0"/>
        <w:jc w:val="both"/>
        <w:rPr/>
      </w:pPr>
      <w:r>
        <w:rPr/>
        <w:t xml:space="preserve">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а также осуществлять иные права и обязанности, которые принадлежат участнику в соответствии с </w:t>
      </w:r>
      <w:hyperlink r:id="rId13">
        <w:r>
          <w:rPr>
            <w:rStyle w:val="Style4"/>
          </w:rPr>
          <w:t>Положением о закупках</w:t>
        </w:r>
      </w:hyperlink>
      <w:r>
        <w:rPr/>
        <w:t xml:space="preserve"> и документацией;</w:t>
      </w:r>
    </w:p>
    <w:p>
      <w:pPr>
        <w:pStyle w:val="Normal"/>
        <w:widowControl/>
        <w:ind w:firstLine="709" w:start="0" w:end="0"/>
        <w:jc w:val="both"/>
        <w:rPr/>
      </w:pPr>
      <w:r>
        <w:rPr/>
        <w:t>в) о лице (лицах), с которым будет заключён договор (договоры) по результатам процедуры закупки, а также о лице (лицах) которые будут привлечены в качестве субподрядчиков, субисполнителей по договору (договорам), заключённому по результатам процедуры закупки.</w:t>
      </w:r>
    </w:p>
    <w:p>
      <w:pPr>
        <w:pStyle w:val="Normal"/>
        <w:widowControl/>
        <w:numPr>
          <w:ilvl w:val="2"/>
          <w:numId w:val="1"/>
        </w:numPr>
        <w:tabs>
          <w:tab w:val="clear" w:pos="720"/>
          <w:tab w:val="left" w:pos="960" w:leader="none"/>
        </w:tabs>
        <w:ind w:firstLine="709" w:start="0" w:end="0"/>
        <w:jc w:val="both"/>
        <w:rPr/>
      </w:pPr>
      <w:r>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24" w:name="__RefHeading___10"/>
      <w:bookmarkEnd w:id="24"/>
      <w:r>
        <w:rPr>
          <w:b/>
        </w:rPr>
        <w:t>Предоставление национального режима при осуществлении закупки</w:t>
      </w:r>
    </w:p>
    <w:p>
      <w:pPr>
        <w:pStyle w:val="Normal"/>
        <w:widowControl/>
        <w:numPr>
          <w:ilvl w:val="2"/>
          <w:numId w:val="1"/>
        </w:numPr>
        <w:tabs>
          <w:tab w:val="clear" w:pos="720"/>
          <w:tab w:val="left" w:pos="960" w:leader="none"/>
        </w:tabs>
        <w:ind w:firstLine="709" w:start="0" w:end="0"/>
        <w:jc w:val="both"/>
        <w:rPr/>
      </w:pPr>
      <w:r>
        <w:rPr/>
        <w:t>При проведении настоящей процедуры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pPr>
        <w:pStyle w:val="Normal"/>
        <w:widowControl/>
        <w:numPr>
          <w:ilvl w:val="2"/>
          <w:numId w:val="1"/>
        </w:numPr>
        <w:tabs>
          <w:tab w:val="clear" w:pos="720"/>
          <w:tab w:val="left" w:pos="960" w:leader="none"/>
        </w:tabs>
        <w:ind w:firstLine="709" w:start="0" w:end="0"/>
        <w:jc w:val="both"/>
        <w:rPr/>
      </w:pPr>
      <w:r>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Normal"/>
        <w:widowControl/>
        <w:numPr>
          <w:ilvl w:val="2"/>
          <w:numId w:val="1"/>
        </w:numPr>
        <w:tabs>
          <w:tab w:val="clear" w:pos="720"/>
          <w:tab w:val="left" w:pos="960" w:leader="none"/>
        </w:tabs>
        <w:ind w:firstLine="709" w:start="0" w:end="0"/>
        <w:jc w:val="both"/>
        <w:rPr/>
      </w:pPr>
      <w:bookmarkStart w:id="25" w:name="_Ref184655223"/>
      <w:r>
        <w:rPr/>
        <w:t xml:space="preserve">Меры по предоставлению национального режима при осуществлении настоящей закупки, в случае их наличия, указаны в п. </w:t>
      </w:r>
      <w:r>
        <w:rPr/>
        <w:fldChar w:fldCharType="begin"/>
      </w:r>
      <w:r>
        <w:rPr/>
        <w:instrText xml:space="preserve"> REF _Ref184389226 \r \r \h </w:instrText>
      </w:r>
      <w:r>
        <w:rPr/>
        <w:fldChar w:fldCharType="separate"/>
      </w:r>
      <w:r>
        <w:rPr/>
        <w:t>11</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в соответствии с постановлением Правительства РФ № 1875, устанавливающим:</w:t>
      </w:r>
      <w:bookmarkEnd w:id="25"/>
    </w:p>
    <w:p>
      <w:pPr>
        <w:pStyle w:val="NormalWeb1"/>
        <w:widowControl/>
        <w:spacing w:lineRule="atLeast" w:line="288" w:before="0" w:after="0"/>
        <w:ind w:firstLine="539" w:start="0" w:end="0"/>
        <w:jc w:val="both"/>
        <w:rPr/>
      </w:pPr>
      <w:r>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pPr>
        <w:pStyle w:val="NormalWeb1"/>
        <w:widowControl/>
        <w:spacing w:lineRule="atLeast" w:line="288" w:before="0" w:after="0"/>
        <w:ind w:firstLine="539" w:start="0" w:end="0"/>
        <w:jc w:val="both"/>
        <w:rPr/>
      </w:pPr>
      <w:r>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pPr>
        <w:pStyle w:val="NormalWeb1"/>
        <w:widowControl/>
        <w:spacing w:lineRule="atLeast" w:line="288" w:before="0" w:after="0"/>
        <w:ind w:firstLine="539" w:start="0" w:end="0"/>
        <w:jc w:val="both"/>
        <w:rPr/>
      </w:pPr>
      <w:r>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pPr>
        <w:pStyle w:val="Normal"/>
        <w:widowControl/>
        <w:numPr>
          <w:ilvl w:val="2"/>
          <w:numId w:val="1"/>
        </w:numPr>
        <w:tabs>
          <w:tab w:val="clear" w:pos="720"/>
          <w:tab w:val="left" w:pos="960" w:leader="none"/>
        </w:tabs>
        <w:ind w:firstLine="709" w:start="0" w:end="0"/>
        <w:jc w:val="both"/>
        <w:rPr/>
      </w:pPr>
      <w:r>
        <w:rPr/>
        <w:t xml:space="preserve">Информация и документы, подтверждающие страну происхождения товара, для целей настоящей закупки, в случае установления запрета, ограничения или преимущества в соответствии с п. </w:t>
      </w:r>
      <w:r>
        <w:rPr/>
        <w:fldChar w:fldCharType="begin"/>
      </w:r>
      <w:r>
        <w:rPr/>
        <w:instrText xml:space="preserve"> REF _Ref184655223 \r \r \h </w:instrText>
      </w:r>
      <w:r>
        <w:rPr/>
        <w:fldChar w:fldCharType="separate"/>
      </w:r>
      <w:r>
        <w:rPr/>
        <w:t>3.3.3</w:t>
      </w:r>
      <w:r>
        <w:rPr/>
        <w:fldChar w:fldCharType="end"/>
      </w:r>
      <w:r>
        <w:rPr/>
        <w:t xml:space="preserve"> настоящего раздела документации указаны в п. </w:t>
      </w:r>
      <w:r>
        <w:rPr/>
        <w:fldChar w:fldCharType="begin"/>
      </w:r>
      <w:r>
        <w:rPr/>
        <w:instrText xml:space="preserve"> REF _Ref184389226 \r \r \h </w:instrText>
      </w:r>
      <w:r>
        <w:rPr/>
        <w:fldChar w:fldCharType="separate"/>
      </w:r>
      <w:r>
        <w:rPr/>
        <w:t>11</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p>
    <w:p>
      <w:pPr>
        <w:pStyle w:val="Normal"/>
        <w:widowControl/>
        <w:numPr>
          <w:ilvl w:val="2"/>
          <w:numId w:val="1"/>
        </w:numPr>
        <w:tabs>
          <w:tab w:val="clear" w:pos="720"/>
          <w:tab w:val="left" w:pos="960" w:leader="none"/>
        </w:tabs>
        <w:ind w:firstLine="709" w:start="0" w:end="0"/>
        <w:jc w:val="both"/>
        <w:rPr/>
      </w:pPr>
      <w:bookmarkStart w:id="26" w:name="_Ref186113696"/>
      <w:r>
        <w:rPr/>
        <w:t>При осуществлении закупки товара:</w:t>
      </w:r>
      <w:bookmarkEnd w:id="26"/>
    </w:p>
    <w:p>
      <w:pPr>
        <w:pStyle w:val="ListParagraph1"/>
        <w:widowControl w:val="false"/>
        <w:tabs>
          <w:tab w:val="clear" w:pos="720"/>
          <w:tab w:val="left" w:pos="567" w:leader="none"/>
        </w:tabs>
        <w:ind w:firstLine="567" w:start="0" w:end="-107"/>
        <w:jc w:val="both"/>
        <w:rPr/>
      </w:pPr>
      <w:r>
        <w:rPr/>
        <w:t xml:space="preserve">1) если при осуществлении настоящей закупки установлен предусмотренный пп. а) п. </w:t>
      </w:r>
      <w:r>
        <w:rPr/>
        <w:fldChar w:fldCharType="begin"/>
      </w:r>
      <w:r>
        <w:rPr/>
        <w:instrText xml:space="preserve"> REF _Ref184655223 \r \r \h </w:instrText>
      </w:r>
      <w:r>
        <w:rPr/>
        <w:fldChar w:fldCharType="separate"/>
      </w:r>
      <w:r>
        <w:rPr/>
        <w:t>3.3.3</w:t>
      </w:r>
      <w:r>
        <w:rPr/>
        <w:fldChar w:fldCharType="end"/>
      </w:r>
      <w:r>
        <w:rPr/>
        <w:t xml:space="preserve"> настоящего раздела документации запрет, не допускаются:</w:t>
      </w:r>
    </w:p>
    <w:p>
      <w:pPr>
        <w:pStyle w:val="Normal"/>
        <w:widowControl w:val="false"/>
        <w:tabs>
          <w:tab w:val="clear" w:pos="720"/>
          <w:tab w:val="left" w:pos="567" w:leader="none"/>
        </w:tabs>
        <w:ind w:firstLine="567" w:start="0" w:end="-107"/>
        <w:jc w:val="both"/>
        <w:rPr/>
      </w:pPr>
      <w:r>
        <w:rPr/>
        <w:t>а) заключение договора на поставку товара, происходящего из иностранных государств;</w:t>
      </w:r>
    </w:p>
    <w:p>
      <w:pPr>
        <w:pStyle w:val="ListParagraph1"/>
        <w:widowControl w:val="false"/>
        <w:tabs>
          <w:tab w:val="clear" w:pos="720"/>
          <w:tab w:val="left" w:pos="567" w:leader="none"/>
        </w:tabs>
        <w:ind w:firstLine="567" w:start="0" w:end="-107"/>
        <w:jc w:val="both"/>
        <w:rPr/>
      </w:pPr>
      <w:r>
        <w:rPr/>
        <w:t>б) при исполнении договора замена товара на происходящий из иностранного государства товар, в отношении которого установлен данный запрет;</w:t>
      </w:r>
    </w:p>
    <w:p>
      <w:pPr>
        <w:pStyle w:val="ListParagraph1"/>
        <w:widowControl w:val="false"/>
        <w:tabs>
          <w:tab w:val="clear" w:pos="720"/>
          <w:tab w:val="left" w:pos="567" w:leader="none"/>
        </w:tabs>
        <w:ind w:firstLine="567" w:start="0" w:end="-107"/>
        <w:jc w:val="both"/>
        <w:rPr/>
      </w:pPr>
      <w:r>
        <w:rPr/>
        <w:t xml:space="preserve">2) если при осуществлении настоящей закупки установлено предусмотренное пп. б) п. </w:t>
      </w:r>
      <w:r>
        <w:rPr/>
        <w:fldChar w:fldCharType="begin"/>
      </w:r>
      <w:r>
        <w:rPr/>
        <w:instrText xml:space="preserve"> REF _Ref184655223 \r \r \h </w:instrText>
      </w:r>
      <w:r>
        <w:rPr/>
        <w:fldChar w:fldCharType="separate"/>
      </w:r>
      <w:r>
        <w:rPr/>
        <w:t>3.3.3</w:t>
      </w:r>
      <w:r>
        <w:rPr/>
        <w:fldChar w:fldCharType="end"/>
      </w:r>
      <w:r>
        <w:rPr/>
        <w:t xml:space="preserve"> настоящего раздела документации ограничение, не допускаются:</w:t>
      </w:r>
    </w:p>
    <w:p>
      <w:pPr>
        <w:pStyle w:val="ListParagraph1"/>
        <w:widowControl w:val="false"/>
        <w:tabs>
          <w:tab w:val="clear" w:pos="720"/>
          <w:tab w:val="left" w:pos="567" w:leader="none"/>
        </w:tabs>
        <w:ind w:firstLine="567" w:start="0" w:end="-107"/>
        <w:jc w:val="both"/>
        <w:rPr/>
      </w:pPr>
      <w:r>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 и содержащие предложения о поставке товара российского происхождения;</w:t>
      </w:r>
    </w:p>
    <w:p>
      <w:pPr>
        <w:pStyle w:val="ListParagraph1"/>
        <w:widowControl w:val="false"/>
        <w:tabs>
          <w:tab w:val="clear" w:pos="720"/>
          <w:tab w:val="left" w:pos="567" w:leader="none"/>
        </w:tabs>
        <w:ind w:firstLine="567" w:start="0" w:end="-107"/>
        <w:jc w:val="both"/>
        <w:rPr/>
      </w:pPr>
      <w:r>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pPr>
        <w:pStyle w:val="ListParagraph1"/>
        <w:widowControl w:val="false"/>
        <w:tabs>
          <w:tab w:val="clear" w:pos="720"/>
          <w:tab w:val="left" w:pos="567" w:leader="none"/>
        </w:tabs>
        <w:ind w:firstLine="567" w:start="0" w:end="-107"/>
        <w:jc w:val="both"/>
        <w:rPr/>
      </w:pPr>
      <w:r>
        <w:rPr/>
        <w:t xml:space="preserve">3) если при осуществлении настоящей закупки установлено пп. в) п. </w:t>
      </w:r>
      <w:r>
        <w:rPr/>
        <w:fldChar w:fldCharType="begin"/>
      </w:r>
      <w:r>
        <w:rPr/>
        <w:instrText xml:space="preserve"> REF _Ref184655223 \r \r \h </w:instrText>
      </w:r>
      <w:r>
        <w:rPr/>
        <w:fldChar w:fldCharType="separate"/>
      </w:r>
      <w:r>
        <w:rPr/>
        <w:t>3.3.3</w:t>
      </w:r>
      <w:r>
        <w:rPr/>
        <w:fldChar w:fldCharType="end"/>
      </w:r>
      <w:r>
        <w:rPr/>
        <w:t xml:space="preserve"> настоящего раздела документации преимущество в отношении товара российского происхождения:</w:t>
      </w:r>
    </w:p>
    <w:p>
      <w:pPr>
        <w:pStyle w:val="ListParagraph1"/>
        <w:widowControl w:val="false"/>
        <w:tabs>
          <w:tab w:val="clear" w:pos="720"/>
          <w:tab w:val="left" w:pos="567" w:leader="none"/>
        </w:tabs>
        <w:ind w:firstLine="567" w:start="0" w:end="-107"/>
        <w:jc w:val="both"/>
        <w:rPr/>
      </w:pPr>
      <w:r>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pPr>
        <w:pStyle w:val="ListParagraph1"/>
        <w:widowControl w:val="false"/>
        <w:tabs>
          <w:tab w:val="clear" w:pos="720"/>
          <w:tab w:val="left" w:pos="567" w:leader="none"/>
        </w:tabs>
        <w:ind w:firstLine="567" w:start="0" w:end="-107"/>
        <w:jc w:val="both"/>
        <w:rPr/>
      </w:pPr>
      <w:r>
        <w:rP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pPr>
        <w:pStyle w:val="ListParagraph1"/>
        <w:widowControl w:val="false"/>
        <w:tabs>
          <w:tab w:val="clear" w:pos="720"/>
          <w:tab w:val="left" w:pos="567" w:leader="none"/>
        </w:tabs>
        <w:ind w:firstLine="567" w:start="0" w:end="-107"/>
        <w:jc w:val="both"/>
        <w:rPr/>
      </w:pPr>
      <w:r>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pStyle w:val="Normal"/>
        <w:widowControl/>
        <w:numPr>
          <w:ilvl w:val="2"/>
          <w:numId w:val="1"/>
        </w:numPr>
        <w:tabs>
          <w:tab w:val="clear" w:pos="720"/>
          <w:tab w:val="left" w:pos="960" w:leader="none"/>
        </w:tabs>
        <w:ind w:firstLine="709" w:start="0" w:end="0"/>
        <w:jc w:val="both"/>
        <w:rPr/>
      </w:pPr>
      <w:bookmarkStart w:id="27" w:name="_Ref186113706"/>
      <w:r>
        <w:rPr/>
        <w:t>При осуществлении закупки работы, услуги:</w:t>
      </w:r>
      <w:bookmarkEnd w:id="27"/>
    </w:p>
    <w:p>
      <w:pPr>
        <w:pStyle w:val="ListParagraph1"/>
        <w:widowControl w:val="false"/>
        <w:tabs>
          <w:tab w:val="clear" w:pos="720"/>
          <w:tab w:val="left" w:pos="426" w:leader="none"/>
        </w:tabs>
        <w:ind w:firstLine="709" w:start="0" w:end="-107"/>
        <w:jc w:val="both"/>
        <w:rPr/>
      </w:pPr>
      <w:r>
        <w:rPr/>
        <w:t xml:space="preserve">1) если при осуществлении настоящей закупки установлен предусмотренный пп. а) п. </w:t>
      </w:r>
      <w:r>
        <w:rPr/>
        <w:fldChar w:fldCharType="begin"/>
      </w:r>
      <w:r>
        <w:rPr/>
        <w:instrText xml:space="preserve"> REF _Ref184655223 \r \r \h </w:instrText>
      </w:r>
      <w:r>
        <w:rPr/>
        <w:fldChar w:fldCharType="separate"/>
      </w:r>
      <w:r>
        <w:rPr/>
        <w:t>3.3.3</w:t>
      </w:r>
      <w:r>
        <w:rPr/>
        <w:fldChar w:fldCharType="end"/>
      </w:r>
      <w:r>
        <w:rPr/>
        <w:t xml:space="preserve"> настоящего раздела документации запрет закупки таких работы, услуги, соответственно выполняемой, оказываемой иностранным лицом, не допускаются:</w:t>
      </w:r>
    </w:p>
    <w:p>
      <w:pPr>
        <w:pStyle w:val="ListParagraph1"/>
        <w:widowControl w:val="false"/>
        <w:tabs>
          <w:tab w:val="clear" w:pos="720"/>
          <w:tab w:val="left" w:pos="426" w:leader="none"/>
        </w:tabs>
        <w:ind w:firstLine="709" w:start="0" w:end="-107"/>
        <w:jc w:val="both"/>
        <w:rPr/>
      </w:pPr>
      <w:r>
        <w:rPr/>
        <w:t>а) заключение договора на выполнение такой работы, оказание такой услуги с подрядчиком (исполнителем), являющимся иностранным лицом;</w:t>
      </w:r>
    </w:p>
    <w:p>
      <w:pPr>
        <w:pStyle w:val="ListParagraph1"/>
        <w:widowControl w:val="false"/>
        <w:tabs>
          <w:tab w:val="clear" w:pos="720"/>
          <w:tab w:val="left" w:pos="426" w:leader="none"/>
        </w:tabs>
        <w:ind w:firstLine="709" w:start="0" w:end="-107"/>
        <w:jc w:val="both"/>
        <w:rPr/>
      </w:pPr>
      <w:r>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ListParagraph1"/>
        <w:widowControl w:val="false"/>
        <w:tabs>
          <w:tab w:val="clear" w:pos="720"/>
          <w:tab w:val="left" w:pos="426" w:leader="none"/>
        </w:tabs>
        <w:ind w:firstLine="709" w:start="0" w:end="-107"/>
        <w:jc w:val="both"/>
        <w:rPr/>
      </w:pPr>
      <w:r>
        <w:rPr/>
        <w:t xml:space="preserve">2) если при осуществлении настоящей закупки установлено предусмотренное пп. б) п. </w:t>
      </w:r>
      <w:r>
        <w:rPr/>
        <w:fldChar w:fldCharType="begin"/>
      </w:r>
      <w:r>
        <w:rPr/>
        <w:instrText xml:space="preserve"> REF _Ref184655223 \r \r \h </w:instrText>
      </w:r>
      <w:r>
        <w:rPr/>
        <w:fldChar w:fldCharType="separate"/>
      </w:r>
      <w:r>
        <w:rPr/>
        <w:t>3.3.3</w:t>
      </w:r>
      <w:r>
        <w:rPr/>
        <w:fldChar w:fldCharType="end"/>
      </w:r>
      <w:r>
        <w:rPr/>
        <w:t xml:space="preserve"> настоящего раздела документации ограничение закупки таких работы, услуги, соответственно выполняемой, оказываемой иностранным лицом, не допускаются:</w:t>
      </w:r>
    </w:p>
    <w:p>
      <w:pPr>
        <w:pStyle w:val="ListParagraph1"/>
        <w:widowControl w:val="false"/>
        <w:tabs>
          <w:tab w:val="clear" w:pos="720"/>
          <w:tab w:val="left" w:pos="426" w:leader="none"/>
        </w:tabs>
        <w:ind w:firstLine="709" w:start="0" w:end="-107"/>
        <w:jc w:val="both"/>
        <w:rPr/>
      </w:pPr>
      <w:r>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w:t>
      </w:r>
    </w:p>
    <w:p>
      <w:pPr>
        <w:pStyle w:val="ListParagraph1"/>
        <w:widowControl w:val="false"/>
        <w:tabs>
          <w:tab w:val="clear" w:pos="720"/>
          <w:tab w:val="left" w:pos="426" w:leader="none"/>
        </w:tabs>
        <w:ind w:firstLine="709" w:start="0" w:end="-107"/>
        <w:jc w:val="both"/>
        <w:rPr/>
      </w:pPr>
      <w:r>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pPr>
        <w:pStyle w:val="ListParagraph1"/>
        <w:widowControl w:val="false"/>
        <w:tabs>
          <w:tab w:val="clear" w:pos="720"/>
          <w:tab w:val="left" w:pos="426" w:leader="none"/>
        </w:tabs>
        <w:ind w:firstLine="709" w:start="0" w:end="-107"/>
        <w:jc w:val="both"/>
        <w:rPr/>
      </w:pPr>
      <w:r>
        <w:rPr/>
        <w:t xml:space="preserve">3) если при осуществлении настоящей закупки установлено предусмотренное пп. в) п. </w:t>
      </w:r>
      <w:r>
        <w:rPr/>
        <w:fldChar w:fldCharType="begin"/>
      </w:r>
      <w:r>
        <w:rPr/>
        <w:instrText xml:space="preserve"> REF _Ref184655223 \r \r \h </w:instrText>
      </w:r>
      <w:r>
        <w:rPr/>
        <w:fldChar w:fldCharType="separate"/>
      </w:r>
      <w:r>
        <w:rPr/>
        <w:t>3.3.3</w:t>
      </w:r>
      <w:r>
        <w:rPr/>
        <w:fldChar w:fldCharType="end"/>
      </w:r>
      <w:r>
        <w:rPr/>
        <w:t xml:space="preserve"> настоящего раздела документации преимущество в отношении таких работы, услуги, соответственно выполняемой, оказываемой российским лицом:</w:t>
      </w:r>
    </w:p>
    <w:p>
      <w:pPr>
        <w:pStyle w:val="ListParagraph1"/>
        <w:widowControl w:val="false"/>
        <w:tabs>
          <w:tab w:val="clear" w:pos="720"/>
          <w:tab w:val="left" w:pos="426" w:leader="none"/>
        </w:tabs>
        <w:ind w:firstLine="709" w:start="0" w:end="-107"/>
        <w:jc w:val="both"/>
        <w:rPr/>
      </w:pPr>
      <w:r>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pPr>
        <w:pStyle w:val="ListParagraph1"/>
        <w:widowControl w:val="false"/>
        <w:tabs>
          <w:tab w:val="clear" w:pos="720"/>
          <w:tab w:val="left" w:pos="426" w:leader="none"/>
        </w:tabs>
        <w:ind w:firstLine="709" w:start="0" w:end="-107"/>
        <w:jc w:val="both"/>
        <w:rPr/>
      </w:pPr>
      <w:r>
        <w:rP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pPr>
        <w:pStyle w:val="ListParagraph1"/>
        <w:widowControl w:val="false"/>
        <w:tabs>
          <w:tab w:val="clear" w:pos="720"/>
          <w:tab w:val="left" w:pos="426" w:leader="none"/>
        </w:tabs>
        <w:ind w:firstLine="709" w:start="0" w:end="-107"/>
        <w:jc w:val="both"/>
        <w:rPr/>
      </w:pPr>
      <w:r>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pPr>
        <w:pStyle w:val="Normal"/>
        <w:widowControl/>
        <w:numPr>
          <w:ilvl w:val="2"/>
          <w:numId w:val="1"/>
        </w:numPr>
        <w:tabs>
          <w:tab w:val="clear" w:pos="720"/>
          <w:tab w:val="left" w:pos="960" w:leader="none"/>
        </w:tabs>
        <w:ind w:firstLine="709" w:start="0" w:end="0"/>
        <w:jc w:val="both"/>
        <w:rPr/>
      </w:pPr>
      <w:r>
        <w:rPr/>
        <w:t>В соответствии с постановлением Правительства РФ № 1875 положения,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color w:themeColor="text1" w:val="000000"/>
        </w:rPr>
      </w:pPr>
      <w:bookmarkStart w:id="28" w:name="__RefHeading___11"/>
      <w:bookmarkEnd w:id="28"/>
      <w:r>
        <w:rPr>
          <w:b/>
        </w:rPr>
        <w:t xml:space="preserve">Расходы на участие в закупке </w:t>
      </w:r>
    </w:p>
    <w:p>
      <w:pPr>
        <w:pStyle w:val="Normal"/>
        <w:widowControl/>
        <w:numPr>
          <w:ilvl w:val="2"/>
          <w:numId w:val="1"/>
        </w:numPr>
        <w:tabs>
          <w:tab w:val="clear" w:pos="720"/>
          <w:tab w:val="left" w:pos="960" w:leader="none"/>
        </w:tabs>
        <w:ind w:firstLine="709" w:start="0" w:end="0"/>
        <w:jc w:val="both"/>
        <w:rPr/>
      </w:pPr>
      <w:r>
        <w:rPr/>
        <w:t>Участник несет все прямые и косвенные расходы, связанные с участием в настоящей закупке, в том числе расходы, связанные с подготовкой и предоставлением заявки на участие в закупке, а Заказчик не имеет обязательств в связи с такими расходами за исключением случаев, прямо предусмотренных законодательством РФ.</w:t>
      </w:r>
    </w:p>
    <w:p>
      <w:pPr>
        <w:pStyle w:val="Normal"/>
        <w:widowControl/>
        <w:numPr>
          <w:ilvl w:val="2"/>
          <w:numId w:val="1"/>
        </w:numPr>
        <w:tabs>
          <w:tab w:val="clear" w:pos="720"/>
          <w:tab w:val="left" w:pos="960" w:leader="none"/>
        </w:tabs>
        <w:ind w:firstLine="709" w:start="0" w:end="0"/>
        <w:jc w:val="both"/>
        <w:rPr/>
      </w:pPr>
      <w:r>
        <w:rPr/>
        <w:t>Участник не вправе требовать возмещения убытков (реального ущерба и упущенной выгоды), причинённых в ходе подготовки к настоящей процедуре закупки, в ходе проведения настоящей процедуры закупки, заключения договора и (или) в связи с отказом Заказчика от проведения настоящей процедуры закупки.</w:t>
      </w:r>
    </w:p>
    <w:p>
      <w:pPr>
        <w:pStyle w:val="NormalWeb1"/>
        <w:keepNext w:val="true"/>
        <w:widowControl/>
        <w:numPr>
          <w:ilvl w:val="0"/>
          <w:numId w:val="1"/>
        </w:numPr>
        <w:tabs>
          <w:tab w:val="clear" w:pos="720"/>
          <w:tab w:val="left" w:pos="1418" w:leader="none"/>
          <w:tab w:val="left" w:pos="2912" w:leader="none"/>
        </w:tabs>
        <w:spacing w:before="120" w:after="0"/>
        <w:ind w:hanging="360" w:start="360" w:end="0"/>
        <w:jc w:val="center"/>
        <w:outlineLvl w:val="1"/>
        <w:rPr>
          <w:b/>
          <w:sz w:val="28"/>
        </w:rPr>
      </w:pPr>
      <w:bookmarkStart w:id="29" w:name="__RefHeading___12"/>
      <w:bookmarkEnd w:id="29"/>
      <w:r>
        <w:rPr>
          <w:b/>
          <w:sz w:val="28"/>
        </w:rPr>
        <w:t>ПОРЯДОК ПРЕДОСТАВЛЕНИЯ РАЗЪЯСНЕНИЙ, ИЗМЕНЕНИЯ ИЗВЕЩЕНИЯ И ДОКУМЕНТАЦИИ, ПОРЯДОК ОТМЕНЫ ЗАКУПКИ</w:t>
      </w:r>
    </w:p>
    <w:p>
      <w:pPr>
        <w:pStyle w:val="NormalWeb1"/>
        <w:keepNext w:val="true"/>
        <w:widowControl/>
        <w:numPr>
          <w:ilvl w:val="1"/>
          <w:numId w:val="1"/>
        </w:numPr>
        <w:tabs>
          <w:tab w:val="clear" w:pos="720"/>
          <w:tab w:val="left" w:pos="1276" w:leader="none"/>
        </w:tabs>
        <w:spacing w:before="0" w:after="0"/>
        <w:ind w:firstLine="709" w:start="0" w:end="0"/>
        <w:jc w:val="both"/>
        <w:outlineLvl w:val="1"/>
        <w:rPr>
          <w:b/>
        </w:rPr>
      </w:pPr>
      <w:bookmarkStart w:id="30" w:name="__RefHeading___13"/>
      <w:bookmarkEnd w:id="30"/>
      <w:r>
        <w:rPr>
          <w:b/>
        </w:rPr>
        <w:t xml:space="preserve">Порядок предоставления разъяснений положений извещения и (или) положений документации </w:t>
      </w:r>
    </w:p>
    <w:p>
      <w:pPr>
        <w:pStyle w:val="Normal"/>
        <w:widowControl/>
        <w:numPr>
          <w:ilvl w:val="2"/>
          <w:numId w:val="1"/>
        </w:numPr>
        <w:tabs>
          <w:tab w:val="clear" w:pos="720"/>
          <w:tab w:val="left" w:pos="960" w:leader="none"/>
        </w:tabs>
        <w:ind w:firstLine="709" w:start="0" w:end="0"/>
        <w:jc w:val="both"/>
        <w:rPr/>
      </w:pPr>
      <w:r>
        <w:rPr/>
        <w:t xml:space="preserve">С даты официальной публикации извещения и документации о закупке на ЭТП документация находится в открытом доступе, на ЭТП предоставляется согласно правилам данной ЭТП. </w:t>
      </w:r>
    </w:p>
    <w:p>
      <w:pPr>
        <w:pStyle w:val="Normal"/>
        <w:widowControl/>
        <w:numPr>
          <w:ilvl w:val="2"/>
          <w:numId w:val="1"/>
        </w:numPr>
        <w:tabs>
          <w:tab w:val="clear" w:pos="720"/>
          <w:tab w:val="left" w:pos="960" w:leader="none"/>
        </w:tabs>
        <w:ind w:firstLine="709" w:start="0" w:end="0"/>
        <w:jc w:val="both"/>
        <w:rPr/>
      </w:pPr>
      <w:r>
        <w:rPr/>
        <w:t xml:space="preserve">Любой участник, получивший аккредитацию на ЭТП, вправе направить в порядке, предусмотренном регламентом ЭТП, запрос о даче разъяснений положений извещения и (или) положений документации. </w:t>
      </w:r>
    </w:p>
    <w:p>
      <w:pPr>
        <w:pStyle w:val="Normal"/>
        <w:widowControl/>
        <w:tabs>
          <w:tab w:val="clear" w:pos="720"/>
          <w:tab w:val="left" w:pos="1004" w:leader="none"/>
        </w:tabs>
        <w:ind w:firstLine="709" w:start="0" w:end="0"/>
        <w:jc w:val="both"/>
        <w:rPr/>
      </w:pPr>
      <w:r>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pPr>
        <w:pStyle w:val="Normal"/>
        <w:widowControl/>
        <w:numPr>
          <w:ilvl w:val="2"/>
          <w:numId w:val="1"/>
        </w:numPr>
        <w:tabs>
          <w:tab w:val="clear" w:pos="720"/>
          <w:tab w:val="left" w:pos="960" w:leader="none"/>
        </w:tabs>
        <w:ind w:firstLine="709" w:start="0" w:end="0"/>
        <w:jc w:val="both"/>
        <w:rPr/>
      </w:pPr>
      <w:bookmarkStart w:id="31" w:name="_Ref57203210"/>
      <w:r>
        <w:rPr/>
        <w:t xml:space="preserve">Дата начала и дата и время окончания срока предоставления участникам закупки разъяснений положений извещения и (или) положений документации указаны в п. </w:t>
      </w:r>
      <w:r>
        <w:rPr/>
        <w:fldChar w:fldCharType="begin"/>
      </w:r>
      <w:r>
        <w:rPr/>
        <w:instrText xml:space="preserve"> REF _Ref55317440 \r \r \h </w:instrText>
      </w:r>
      <w:r>
        <w:rPr/>
        <w:fldChar w:fldCharType="separate"/>
      </w:r>
      <w:r>
        <w:rPr/>
        <w:t>16</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bookmarkEnd w:id="31"/>
    </w:p>
    <w:p>
      <w:pPr>
        <w:pStyle w:val="Normal"/>
        <w:widowControl/>
        <w:numPr>
          <w:ilvl w:val="2"/>
          <w:numId w:val="1"/>
        </w:numPr>
        <w:tabs>
          <w:tab w:val="clear" w:pos="720"/>
          <w:tab w:val="left" w:pos="960" w:leader="none"/>
        </w:tabs>
        <w:ind w:firstLine="709" w:start="0" w:end="0"/>
        <w:jc w:val="both"/>
        <w:rPr/>
      </w:pPr>
      <w:r>
        <w:rPr/>
        <w:t xml:space="preserve">Запрос о даче разъяснений положений извещения и (или) положений документации направляется по </w:t>
      </w:r>
      <w:hyperlink w:anchor="_Форма_4_РЕКОМЕНДУЕМАЯ">
        <w:r>
          <w:rPr>
            <w:rStyle w:val="Style4"/>
          </w:rPr>
          <w:t>Форме 3 раздела III «ФОРМЫ ДЛЯ ЗАПОЛНЕНИЯ УЧАСТНИКАМИ ЗАКУПКИ»</w:t>
        </w:r>
      </w:hyperlink>
      <w:r>
        <w:rPr/>
        <w:t xml:space="preserve">. </w:t>
      </w:r>
    </w:p>
    <w:p>
      <w:pPr>
        <w:pStyle w:val="Normal"/>
        <w:widowControl/>
        <w:numPr>
          <w:ilvl w:val="2"/>
          <w:numId w:val="1"/>
        </w:numPr>
        <w:tabs>
          <w:tab w:val="clear" w:pos="720"/>
          <w:tab w:val="left" w:pos="960" w:leader="none"/>
        </w:tabs>
        <w:ind w:firstLine="709" w:start="0" w:end="0"/>
        <w:jc w:val="both"/>
        <w:rPr/>
      </w:pPr>
      <w:bookmarkStart w:id="32" w:name="_Ref55317513"/>
      <w:r>
        <w:rPr/>
        <w:t>В течение 1 рабочего дня с даты поступления запроса о даче разъяснений положений извещения и (или) положений документации Заказчик осуществляет разъяснение положений извещения и (или) положений документации и размещает их на ЭТП с указанием предмета запроса, но без указания участника, от которого поступил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закупке.</w:t>
      </w:r>
      <w:bookmarkEnd w:id="32"/>
    </w:p>
    <w:p>
      <w:pPr>
        <w:pStyle w:val="Normal"/>
        <w:widowControl/>
        <w:numPr>
          <w:ilvl w:val="2"/>
          <w:numId w:val="1"/>
        </w:numPr>
        <w:tabs>
          <w:tab w:val="clear" w:pos="720"/>
          <w:tab w:val="left" w:pos="960" w:leader="none"/>
        </w:tabs>
        <w:ind w:firstLine="709" w:start="0" w:end="0"/>
        <w:jc w:val="both"/>
        <w:rPr/>
      </w:pPr>
      <w:r>
        <w:rPr/>
        <w:t xml:space="preserve">Заказчик не несет ответственности в случае, если участник не ознакомился с разъяснениями положений извещения и (или) положений документации, которые были размещены на ЭТП в порядке, установленном в п. </w:t>
      </w:r>
      <w:r>
        <w:rPr/>
        <w:fldChar w:fldCharType="begin"/>
      </w:r>
      <w:r>
        <w:rPr/>
        <w:instrText xml:space="preserve"> REF _Ref55317513 \r \r \h </w:instrText>
      </w:r>
      <w:r>
        <w:rPr/>
        <w:fldChar w:fldCharType="separate"/>
      </w:r>
      <w:r>
        <w:rPr/>
        <w:t>4.1.5</w:t>
      </w:r>
      <w:r>
        <w:rPr/>
        <w:fldChar w:fldCharType="end"/>
      </w:r>
      <w:r>
        <w:rPr/>
        <w:t xml:space="preserve"> настоящего раздела документации.</w:t>
      </w:r>
    </w:p>
    <w:p>
      <w:pPr>
        <w:pStyle w:val="Normal"/>
        <w:widowControl/>
        <w:numPr>
          <w:ilvl w:val="2"/>
          <w:numId w:val="1"/>
        </w:numPr>
        <w:tabs>
          <w:tab w:val="clear" w:pos="720"/>
          <w:tab w:val="left" w:pos="960" w:leader="none"/>
        </w:tabs>
        <w:ind w:firstLine="709" w:start="0" w:end="0"/>
        <w:jc w:val="both"/>
        <w:rPr/>
      </w:pPr>
      <w:r>
        <w:rPr/>
        <w:t>Разъяснения положений извещения и (или) положений документации не должны изменять предмет закупки и существенные условия проекта договора.</w:t>
      </w:r>
    </w:p>
    <w:p>
      <w:pPr>
        <w:pStyle w:val="Normal"/>
        <w:widowControl/>
        <w:numPr>
          <w:ilvl w:val="2"/>
          <w:numId w:val="1"/>
        </w:numPr>
        <w:tabs>
          <w:tab w:val="clear" w:pos="720"/>
          <w:tab w:val="left" w:pos="960" w:leader="none"/>
        </w:tabs>
        <w:ind w:firstLine="709" w:start="0" w:end="0"/>
        <w:jc w:val="both"/>
        <w:rPr/>
      </w:pPr>
      <w:r>
        <w:rPr/>
        <w:t>Участник закупки вправе ссылаться только на информацию, полученную от Заказчика в порядке, предусмотренном настоящим разделом документации. Участник не вправе ссылаться на устную информацию, полученную от Заказчика.</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33" w:name="__RefHeading___14"/>
      <w:bookmarkEnd w:id="33"/>
      <w:r>
        <w:rPr>
          <w:b/>
        </w:rPr>
        <w:t>Порядок внесения изменений в извещение и документацию</w:t>
      </w:r>
    </w:p>
    <w:p>
      <w:pPr>
        <w:pStyle w:val="Normal"/>
        <w:widowControl/>
        <w:numPr>
          <w:ilvl w:val="2"/>
          <w:numId w:val="1"/>
        </w:numPr>
        <w:tabs>
          <w:tab w:val="clear" w:pos="720"/>
          <w:tab w:val="left" w:pos="960" w:leader="none"/>
        </w:tabs>
        <w:ind w:firstLine="709" w:start="0" w:end="0"/>
        <w:jc w:val="both"/>
        <w:rPr/>
      </w:pPr>
      <w:r>
        <w:rPr/>
        <w:t>Заказчик вправе принять решение о внесении изменений в извещение и (или) документацию не позднее даты окончания срока подачи заявок на участие в закупке, разместив соответствующие изменения на ЭТП. Изменения в извещение и (или) документацию размещаются на ЭТП не позднее чем в течение 3 (трех) дней со дня принятия решения о внесении указанных изменений в извещение и документацию.</w:t>
      </w:r>
    </w:p>
    <w:p>
      <w:pPr>
        <w:pStyle w:val="Normal"/>
        <w:widowControl/>
        <w:numPr>
          <w:ilvl w:val="2"/>
          <w:numId w:val="1"/>
        </w:numPr>
        <w:tabs>
          <w:tab w:val="clear" w:pos="720"/>
          <w:tab w:val="left" w:pos="960" w:leader="none"/>
        </w:tabs>
        <w:ind w:firstLine="709" w:start="0" w:end="0"/>
        <w:jc w:val="both"/>
        <w:rPr/>
      </w:pPr>
      <w:r>
        <w:rPr/>
        <w:t>До начала проведения процедуры открытия доступа к заявкам на участие в закупке Заказчик вправе продлить срок подачи заявок на участие в закупке и соответственно перенести дату и время проведения процедуры открытия доступа к заявкам. До подведения итогов запроса цен Заказчик вправе изменить дату рассмотрения предложений участников закупки и подведения итогов запроса цен.</w:t>
      </w:r>
    </w:p>
    <w:p>
      <w:pPr>
        <w:pStyle w:val="Normal"/>
        <w:widowControl/>
        <w:numPr>
          <w:ilvl w:val="2"/>
          <w:numId w:val="1"/>
        </w:numPr>
        <w:tabs>
          <w:tab w:val="clear" w:pos="720"/>
          <w:tab w:val="left" w:pos="960" w:leader="none"/>
        </w:tabs>
        <w:ind w:firstLine="709" w:start="0" w:end="0"/>
        <w:jc w:val="both"/>
        <w:rPr/>
      </w:pPr>
      <w:r>
        <w:rPr/>
        <w:t>Любое изменение, внесенное в извещение и (или) в документацию, является неотъемлемой частью извещения и документации.</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34" w:name="__RefHeading___15"/>
      <w:bookmarkEnd w:id="34"/>
      <w:r>
        <w:rPr>
          <w:b/>
        </w:rPr>
        <w:t>Порядок отмены закупки</w:t>
      </w:r>
    </w:p>
    <w:p>
      <w:pPr>
        <w:pStyle w:val="Normal"/>
        <w:widowControl/>
        <w:numPr>
          <w:ilvl w:val="2"/>
          <w:numId w:val="1"/>
        </w:numPr>
        <w:tabs>
          <w:tab w:val="clear" w:pos="720"/>
          <w:tab w:val="left" w:pos="960" w:leader="none"/>
        </w:tabs>
        <w:ind w:firstLine="709" w:start="0" w:end="0"/>
        <w:jc w:val="both"/>
        <w:rPr/>
      </w:pPr>
      <w:bookmarkStart w:id="35" w:name="_Ref55317616"/>
      <w:bookmarkEnd w:id="35"/>
      <w:r>
        <w:rPr/>
        <w:t>Заказчик вправе отказаться от проведения закупки, а также завершить процедуру закупки без заключения договора по его результатам в любое время, до заключения договора, при этом Заказчик не возмещает участнику расходы, понесенные им в связи с участием в закупке.</w:t>
      </w:r>
    </w:p>
    <w:p>
      <w:pPr>
        <w:pStyle w:val="Normal"/>
        <w:widowControl/>
        <w:numPr>
          <w:ilvl w:val="2"/>
          <w:numId w:val="1"/>
        </w:numPr>
        <w:tabs>
          <w:tab w:val="clear" w:pos="720"/>
          <w:tab w:val="left" w:pos="960" w:leader="none"/>
        </w:tabs>
        <w:ind w:firstLine="709" w:start="0" w:end="0"/>
        <w:jc w:val="both"/>
        <w:rPr/>
      </w:pPr>
      <w:bookmarkStart w:id="36" w:name="_Ref58322549"/>
      <w:bookmarkStart w:id="37" w:name="_Ref55317616_Копия_1"/>
      <w:bookmarkEnd w:id="37"/>
      <w:r>
        <w:rPr/>
        <w:t>Уведомление об отказе от проведения закупки размещается на ЭТП.</w:t>
      </w:r>
      <w:bookmarkEnd w:id="36"/>
    </w:p>
    <w:p>
      <w:pPr>
        <w:pStyle w:val="Normal"/>
        <w:widowControl/>
        <w:numPr>
          <w:ilvl w:val="2"/>
          <w:numId w:val="1"/>
        </w:numPr>
        <w:tabs>
          <w:tab w:val="clear" w:pos="720"/>
          <w:tab w:val="left" w:pos="960" w:leader="none"/>
        </w:tabs>
        <w:ind w:firstLine="709" w:start="0" w:end="0"/>
        <w:jc w:val="both"/>
        <w:rPr/>
      </w:pPr>
      <w:r>
        <w:rPr/>
        <w:t xml:space="preserve">После размещения в соответствии с пунктом </w:t>
      </w:r>
      <w:r>
        <w:rPr/>
        <w:fldChar w:fldCharType="begin"/>
      </w:r>
      <w:r>
        <w:rPr/>
        <w:instrText xml:space="preserve"> REF _Ref58322549 \r \r \h </w:instrText>
      </w:r>
      <w:r>
        <w:rPr/>
        <w:fldChar w:fldCharType="separate"/>
      </w:r>
      <w:r>
        <w:rPr/>
        <w:t>4.3.2</w:t>
      </w:r>
      <w:r>
        <w:rPr/>
        <w:fldChar w:fldCharType="end"/>
      </w:r>
      <w:r>
        <w:rPr/>
        <w:t xml:space="preserve"> настоящего раздела документации уведомления об отказе от проведения закупки Заказчик возвращает обеспечение заявки на участие в закупке, если оно было предоставлено участником, в порядке, предусмотренном настоящей документацией .</w:t>
      </w:r>
    </w:p>
    <w:p>
      <w:pPr>
        <w:pStyle w:val="Normal"/>
        <w:widowControl/>
        <w:jc w:val="both"/>
        <w:rPr/>
      </w:pPr>
      <w:r>
        <w:rPr/>
      </w:r>
    </w:p>
    <w:p>
      <w:pPr>
        <w:pStyle w:val="NormalWeb1"/>
        <w:keepNext w:val="true"/>
        <w:widowControl/>
        <w:numPr>
          <w:ilvl w:val="0"/>
          <w:numId w:val="1"/>
        </w:numPr>
        <w:tabs>
          <w:tab w:val="clear" w:pos="720"/>
          <w:tab w:val="left" w:pos="1418" w:leader="none"/>
          <w:tab w:val="left" w:pos="2912" w:leader="none"/>
        </w:tabs>
        <w:spacing w:before="120" w:after="0"/>
        <w:ind w:hanging="360" w:start="360" w:end="0"/>
        <w:jc w:val="center"/>
        <w:outlineLvl w:val="1"/>
        <w:rPr>
          <w:b/>
          <w:sz w:val="28"/>
        </w:rPr>
      </w:pPr>
      <w:bookmarkStart w:id="38" w:name="__RefHeading___16"/>
      <w:bookmarkEnd w:id="38"/>
      <w:r>
        <w:rPr>
          <w:b/>
          <w:sz w:val="28"/>
        </w:rPr>
        <w:t>ТРЕБОВАНИЯ К СОДЕРЖАНИЮ, ФОРМЕ, ОФОРМЛЕНИЮ И СОСТАВУ ЗАЯВКИ НА УЧАСТИЕ В ЗАКУПКЕ</w:t>
      </w:r>
    </w:p>
    <w:p>
      <w:pPr>
        <w:pStyle w:val="NormalWeb1"/>
        <w:keepNext w:val="true"/>
        <w:widowControl/>
        <w:numPr>
          <w:ilvl w:val="1"/>
          <w:numId w:val="1"/>
        </w:numPr>
        <w:tabs>
          <w:tab w:val="clear" w:pos="720"/>
          <w:tab w:val="left" w:pos="1276" w:leader="none"/>
        </w:tabs>
        <w:spacing w:before="0" w:after="0"/>
        <w:ind w:firstLine="709" w:start="0" w:end="0"/>
        <w:jc w:val="both"/>
        <w:outlineLvl w:val="1"/>
        <w:rPr>
          <w:b/>
        </w:rPr>
      </w:pPr>
      <w:bookmarkStart w:id="39" w:name="__RefHeading___17"/>
      <w:bookmarkStart w:id="40" w:name="_Hlk527991194"/>
      <w:bookmarkStart w:id="41" w:name="_Hlk527991206"/>
      <w:bookmarkEnd w:id="39"/>
      <w:bookmarkEnd w:id="41"/>
      <w:r>
        <w:rPr>
          <w:b/>
        </w:rPr>
        <w:t xml:space="preserve">Общие требования к заявке, а также к документам, входящим в состав заявки </w:t>
      </w:r>
      <w:bookmarkEnd w:id="40"/>
    </w:p>
    <w:p>
      <w:pPr>
        <w:pStyle w:val="Normal"/>
        <w:widowControl/>
        <w:numPr>
          <w:ilvl w:val="2"/>
          <w:numId w:val="1"/>
        </w:numPr>
        <w:tabs>
          <w:tab w:val="clear" w:pos="720"/>
          <w:tab w:val="left" w:pos="960" w:leader="none"/>
        </w:tabs>
        <w:ind w:firstLine="709" w:start="0" w:end="0"/>
        <w:jc w:val="both"/>
        <w:rPr/>
      </w:pPr>
      <w:bookmarkStart w:id="42" w:name="_Hlk530405016"/>
      <w:bookmarkStart w:id="43" w:name="_Hlk527991206_Копия_1"/>
      <w:bookmarkEnd w:id="42"/>
      <w:bookmarkEnd w:id="43"/>
      <w:r>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документации (PDF, Word, Excel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pPr>
        <w:pStyle w:val="Normal"/>
        <w:widowControl/>
        <w:numPr>
          <w:ilvl w:val="2"/>
          <w:numId w:val="1"/>
        </w:numPr>
        <w:tabs>
          <w:tab w:val="clear" w:pos="720"/>
          <w:tab w:val="left" w:pos="960" w:leader="none"/>
        </w:tabs>
        <w:ind w:firstLine="709" w:start="0" w:end="0"/>
        <w:jc w:val="both"/>
        <w:rPr/>
      </w:pPr>
      <w:r>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pPr>
        <w:pStyle w:val="Normal"/>
        <w:widowControl/>
        <w:numPr>
          <w:ilvl w:val="2"/>
          <w:numId w:val="1"/>
        </w:numPr>
        <w:tabs>
          <w:tab w:val="clear" w:pos="720"/>
          <w:tab w:val="left" w:pos="960" w:leader="none"/>
        </w:tabs>
        <w:ind w:firstLine="709" w:start="0" w:end="0"/>
        <w:jc w:val="both"/>
        <w:rPr/>
      </w:pPr>
      <w:bookmarkStart w:id="44" w:name="_Ref55320657"/>
      <w:r>
        <w:rPr/>
        <w:t>Цена заявки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44"/>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45" w:name="__RefHeading___18"/>
      <w:bookmarkStart w:id="46" w:name="_Hlk527994838"/>
      <w:bookmarkStart w:id="47" w:name="_Hlk530405016_Копия_1"/>
      <w:bookmarkEnd w:id="45"/>
      <w:bookmarkEnd w:id="47"/>
      <w:r>
        <w:rPr>
          <w:b/>
        </w:rPr>
        <w:t>Язык документов, входящих в состав заявки на участие в закупке</w:t>
      </w:r>
      <w:bookmarkEnd w:id="46"/>
    </w:p>
    <w:p>
      <w:pPr>
        <w:pStyle w:val="Normal"/>
        <w:widowControl/>
        <w:numPr>
          <w:ilvl w:val="2"/>
          <w:numId w:val="1"/>
        </w:numPr>
        <w:tabs>
          <w:tab w:val="clear" w:pos="720"/>
          <w:tab w:val="left" w:pos="960" w:leader="none"/>
        </w:tabs>
        <w:ind w:firstLine="709" w:start="0" w:end="0"/>
        <w:jc w:val="both"/>
        <w:rPr/>
      </w:pPr>
      <w:r>
        <w:rPr/>
        <w:t>Все документы, входящие в состав заявки на участие в закупке, должны быть составлена на русском языке.</w:t>
      </w:r>
    </w:p>
    <w:p>
      <w:pPr>
        <w:pStyle w:val="Normal"/>
        <w:widowControl/>
        <w:numPr>
          <w:ilvl w:val="2"/>
          <w:numId w:val="1"/>
        </w:numPr>
        <w:tabs>
          <w:tab w:val="clear" w:pos="720"/>
          <w:tab w:val="left" w:pos="960" w:leader="none"/>
        </w:tabs>
        <w:ind w:firstLine="709" w:start="0" w:end="0"/>
        <w:jc w:val="both"/>
        <w:rPr/>
      </w:pPr>
      <w:r>
        <w:rPr/>
        <w:t xml:space="preserve">Если какой-либо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pPr>
        <w:pStyle w:val="Normal"/>
        <w:widowControl/>
        <w:numPr>
          <w:ilvl w:val="2"/>
          <w:numId w:val="1"/>
        </w:numPr>
        <w:tabs>
          <w:tab w:val="clear" w:pos="720"/>
          <w:tab w:val="left" w:pos="960" w:leader="none"/>
        </w:tabs>
        <w:ind w:firstLine="709" w:start="0" w:end="0"/>
        <w:jc w:val="both"/>
        <w:rPr/>
      </w:pPr>
      <w:r>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pPr>
        <w:pStyle w:val="Normal"/>
        <w:widowControl/>
        <w:numPr>
          <w:ilvl w:val="2"/>
          <w:numId w:val="1"/>
        </w:numPr>
        <w:tabs>
          <w:tab w:val="clear" w:pos="720"/>
          <w:tab w:val="left" w:pos="960" w:leader="none"/>
        </w:tabs>
        <w:ind w:firstLine="709" w:start="0" w:end="0"/>
        <w:jc w:val="both"/>
        <w:rPr/>
      </w:pPr>
      <w:r>
        <w:rPr/>
        <w:t xml:space="preserve">Вся переписка, связанная с проведением закупки, ведется на русском языке, если иное не предусмотрено настоящей документацией. </w:t>
      </w:r>
    </w:p>
    <w:p>
      <w:pPr>
        <w:pStyle w:val="Normal"/>
        <w:widowControl/>
        <w:numPr>
          <w:ilvl w:val="2"/>
          <w:numId w:val="1"/>
        </w:numPr>
        <w:tabs>
          <w:tab w:val="clear" w:pos="720"/>
          <w:tab w:val="left" w:pos="960" w:leader="none"/>
        </w:tabs>
        <w:ind w:firstLine="709" w:start="0" w:end="0"/>
        <w:jc w:val="both"/>
        <w:rPr/>
      </w:pPr>
      <w:r>
        <w:rPr/>
        <w:t>В случае если для участия в закупке иностранному лицу потребуется извещение, документация на иностранном языке, перевод на иностранный язык такое лицо осуществляет самостоятельно за свой счет.</w:t>
      </w:r>
    </w:p>
    <w:p>
      <w:pPr>
        <w:pStyle w:val="Normal"/>
        <w:widowControl/>
        <w:numPr>
          <w:ilvl w:val="2"/>
          <w:numId w:val="1"/>
        </w:numPr>
        <w:tabs>
          <w:tab w:val="clear" w:pos="720"/>
          <w:tab w:val="left" w:pos="960" w:leader="none"/>
        </w:tabs>
        <w:ind w:firstLine="709" w:start="0" w:end="0"/>
        <w:jc w:val="both"/>
        <w:rPr/>
      </w:pPr>
      <w:r>
        <w:rPr/>
        <w:t>Наличие противоречий между оригиналом и переводом, которые изменяют смысл оригинала, расценивается Закупочной комиссией как несоответствие заявки требованиям, установленным документацией.</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48" w:name="__RefHeading___19"/>
      <w:bookmarkStart w:id="49" w:name="_Ref57203140"/>
      <w:bookmarkEnd w:id="48"/>
      <w:r>
        <w:rPr>
          <w:b/>
        </w:rPr>
        <w:t>Валюта заявки на участие в закупке</w:t>
      </w:r>
      <w:bookmarkEnd w:id="49"/>
    </w:p>
    <w:p>
      <w:pPr>
        <w:pStyle w:val="Normal"/>
        <w:widowControl/>
        <w:numPr>
          <w:ilvl w:val="2"/>
          <w:numId w:val="1"/>
        </w:numPr>
        <w:tabs>
          <w:tab w:val="clear" w:pos="720"/>
          <w:tab w:val="left" w:pos="960" w:leader="none"/>
        </w:tabs>
        <w:ind w:firstLine="709" w:start="0" w:end="0"/>
        <w:jc w:val="both"/>
        <w:rPr/>
      </w:pPr>
      <w:r>
        <w:rPr/>
        <w:t xml:space="preserve">Все суммы денежных средств в заявке на участие в закупке должны быть выражены в валюте, установленной в п. </w:t>
      </w:r>
      <w:r>
        <w:rPr/>
        <w:fldChar w:fldCharType="begin"/>
      </w:r>
      <w:r>
        <w:rPr/>
        <w:instrText xml:space="preserve"> REF _Ref55317941 \r \r \h </w:instrText>
      </w:r>
      <w:r>
        <w:rPr/>
        <w:fldChar w:fldCharType="separate"/>
      </w:r>
      <w:r>
        <w:rPr/>
        <w:t>9</w:t>
      </w:r>
      <w:r>
        <w:rPr/>
        <w:fldChar w:fldCharType="end"/>
      </w:r>
      <w:r>
        <w:rPr/>
        <w:t xml:space="preserve"> раздела II «ИНФОРМАЦИОННАЯ КАРТА» документации. Выражение денежных сумм в иной валюте расценивается Закупочной комиссией как несоответствие заявки требованиям, установленным документацией.</w:t>
      </w:r>
    </w:p>
    <w:p>
      <w:pPr>
        <w:pStyle w:val="Normal"/>
        <w:widowControl/>
        <w:numPr>
          <w:ilvl w:val="2"/>
          <w:numId w:val="1"/>
        </w:numPr>
        <w:tabs>
          <w:tab w:val="clear" w:pos="720"/>
          <w:tab w:val="left" w:pos="960" w:leader="none"/>
        </w:tabs>
        <w:ind w:firstLine="709" w:start="0" w:end="0"/>
        <w:jc w:val="both"/>
        <w:rPr/>
      </w:pPr>
      <w:r>
        <w:rPr/>
        <w:t>В случае если валютой закупки является российский рубль, и участник не имеет объективной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Банка России на дату подачи заявки на участие в закупке. При этом ценой договора в случае, если участнику, подавшему такую заявку, будет предложено заключить договор, будет цена в рублях, указанная в заявке на участие в закупке.</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50" w:name="__RefHeading___20"/>
      <w:bookmarkEnd w:id="50"/>
      <w:r>
        <w:rPr>
          <w:b/>
        </w:rPr>
        <w:t>Требования к содержанию документов, входящих в состав заявки на участие в закупке</w:t>
      </w:r>
    </w:p>
    <w:p>
      <w:pPr>
        <w:pStyle w:val="Normal"/>
        <w:widowControl/>
        <w:numPr>
          <w:ilvl w:val="2"/>
          <w:numId w:val="1"/>
        </w:numPr>
        <w:tabs>
          <w:tab w:val="clear" w:pos="720"/>
          <w:tab w:val="left" w:pos="960" w:leader="none"/>
        </w:tabs>
        <w:ind w:firstLine="709" w:start="0" w:end="0"/>
        <w:jc w:val="both"/>
        <w:rPr/>
      </w:pPr>
      <w:bookmarkStart w:id="51" w:name="_Ref55317966"/>
      <w:r>
        <w:rPr/>
        <w:t xml:space="preserve">Заявка на участие в закупке должна содержать информацию и документы, предусмотренные п. </w:t>
      </w:r>
      <w:r>
        <w:rPr/>
        <w:fldChar w:fldCharType="begin"/>
      </w:r>
      <w:r>
        <w:rPr/>
        <w:instrText xml:space="preserve"> REF _Ref55317127 \r \r \h </w:instrText>
      </w:r>
      <w:r>
        <w:rPr/>
        <w:fldChar w:fldCharType="separate"/>
      </w:r>
      <w:r>
        <w:rPr/>
        <w:t>12</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bookmarkEnd w:id="51"/>
      <w:r>
        <w:rPr/>
        <w:t xml:space="preserve"> </w:t>
      </w:r>
    </w:p>
    <w:p>
      <w:pPr>
        <w:pStyle w:val="Normal"/>
        <w:widowControl/>
        <w:numPr>
          <w:ilvl w:val="2"/>
          <w:numId w:val="1"/>
        </w:numPr>
        <w:tabs>
          <w:tab w:val="clear" w:pos="720"/>
          <w:tab w:val="left" w:pos="960" w:leader="none"/>
        </w:tabs>
        <w:ind w:firstLine="709" w:start="0" w:end="0"/>
        <w:jc w:val="both"/>
        <w:rPr/>
      </w:pPr>
      <w:r>
        <w:rPr/>
        <w:t xml:space="preserve">В случае неполного представления информации и документов, указанных в п. </w:t>
      </w:r>
      <w:r>
        <w:rPr/>
        <w:fldChar w:fldCharType="begin"/>
      </w:r>
      <w:r>
        <w:rPr/>
        <w:instrText xml:space="preserve"> REF _Ref55317966 \r \r \h </w:instrText>
      </w:r>
      <w:r>
        <w:rPr/>
        <w:fldChar w:fldCharType="separate"/>
      </w:r>
      <w:r>
        <w:rPr/>
        <w:t>5.4.1</w:t>
      </w:r>
      <w:r>
        <w:rPr/>
        <w:fldChar w:fldCharType="end"/>
      </w:r>
      <w:r>
        <w:rPr/>
        <w:t xml:space="preserve"> настоящего раздела документации, участник не допускается Закупочной комиссией к участию в закупке.</w:t>
      </w:r>
    </w:p>
    <w:p>
      <w:pPr>
        <w:pStyle w:val="Normal"/>
        <w:widowControl/>
        <w:numPr>
          <w:ilvl w:val="2"/>
          <w:numId w:val="1"/>
        </w:numPr>
        <w:tabs>
          <w:tab w:val="clear" w:pos="720"/>
          <w:tab w:val="left" w:pos="960" w:leader="none"/>
        </w:tabs>
        <w:ind w:firstLine="709" w:start="0" w:end="0"/>
        <w:jc w:val="both"/>
        <w:rPr/>
      </w:pPr>
      <w:r>
        <w:rPr/>
        <w:t>Направление в составе заявки листа разногласий к проекту договора, расценивается Закупочной комиссией как несоответствие заявки на участие в закупке требованиям, установленным документацией.</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color w:themeColor="text1" w:val="000000"/>
        </w:rPr>
      </w:pPr>
      <w:bookmarkStart w:id="52" w:name="__RefHeading___21"/>
      <w:bookmarkStart w:id="53" w:name="_Ref57203064"/>
      <w:bookmarkStart w:id="54" w:name="_Hlk528068221"/>
      <w:bookmarkEnd w:id="52"/>
      <w:r>
        <w:rPr>
          <w:b/>
        </w:rPr>
        <w:t>Требования к ценовому предложению</w:t>
      </w:r>
      <w:bookmarkEnd w:id="53"/>
      <w:bookmarkEnd w:id="54"/>
    </w:p>
    <w:p>
      <w:pPr>
        <w:pStyle w:val="Normal"/>
        <w:widowControl/>
        <w:numPr>
          <w:ilvl w:val="2"/>
          <w:numId w:val="1"/>
        </w:numPr>
        <w:tabs>
          <w:tab w:val="clear" w:pos="720"/>
          <w:tab w:val="left" w:pos="960" w:leader="none"/>
        </w:tabs>
        <w:ind w:firstLine="709" w:start="0" w:end="0"/>
        <w:jc w:val="both"/>
        <w:rPr/>
      </w:pPr>
      <w:r>
        <w:rPr/>
        <w:t xml:space="preserve">Цена договора, предлагаемая участником, не может превышать НМЦ договора, указанную в п. </w:t>
      </w:r>
      <w:r>
        <w:rPr/>
        <w:fldChar w:fldCharType="begin"/>
      </w:r>
      <w:r>
        <w:rPr/>
        <w:instrText xml:space="preserve"> REF _Ref55316445 \r \r \h </w:instrText>
      </w:r>
      <w:r>
        <w:rPr/>
        <w:fldChar w:fldCharType="separate"/>
      </w:r>
      <w:r>
        <w:rPr/>
        <w:t>6</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w:t>
      </w:r>
    </w:p>
    <w:p>
      <w:pPr>
        <w:pStyle w:val="Normal"/>
        <w:widowControl/>
        <w:numPr>
          <w:ilvl w:val="2"/>
          <w:numId w:val="1"/>
        </w:numPr>
        <w:tabs>
          <w:tab w:val="clear" w:pos="720"/>
          <w:tab w:val="left" w:pos="960" w:leader="none"/>
        </w:tabs>
        <w:ind w:firstLine="709" w:start="0" w:end="0"/>
        <w:jc w:val="both"/>
        <w:rPr/>
      </w:pPr>
      <w:r>
        <w:rPr/>
        <w:t xml:space="preserve">Цена единицы товара, работы, услуги, предлагаемая участником, не может превышать НМЦ единицы товара, работы, услуги, указанную в п. </w:t>
      </w:r>
      <w:r>
        <w:rPr/>
        <w:fldChar w:fldCharType="begin"/>
      </w:r>
      <w:r>
        <w:rPr/>
        <w:instrText xml:space="preserve"> REF _Ref55316445 \r \r \h </w:instrText>
      </w:r>
      <w:r>
        <w:rPr/>
        <w:fldChar w:fldCharType="separate"/>
      </w:r>
      <w:r>
        <w:rPr/>
        <w:t>6</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w:t>
      </w:r>
    </w:p>
    <w:p>
      <w:pPr>
        <w:pStyle w:val="Normal"/>
        <w:widowControl/>
        <w:numPr>
          <w:ilvl w:val="2"/>
          <w:numId w:val="1"/>
        </w:numPr>
        <w:tabs>
          <w:tab w:val="clear" w:pos="720"/>
          <w:tab w:val="left" w:pos="960" w:leader="none"/>
        </w:tabs>
        <w:ind w:firstLine="709" w:start="0" w:end="0"/>
        <w:jc w:val="both"/>
        <w:rPr/>
      </w:pPr>
      <w:r>
        <w:rPr/>
        <w:t>В случае если цена договора/цена единицы товара, работы, услуги, указанная в заявке и предлагаемая участником, превышает НМЦ договора/ НМЦед., соответствующий участник не допускается к участию в процедуре закупки на основании несоответствия его заявки требованиям, установленным документацией.</w:t>
      </w:r>
    </w:p>
    <w:p>
      <w:pPr>
        <w:pStyle w:val="Normal"/>
        <w:widowControl/>
        <w:numPr>
          <w:ilvl w:val="2"/>
          <w:numId w:val="1"/>
        </w:numPr>
        <w:tabs>
          <w:tab w:val="clear" w:pos="720"/>
          <w:tab w:val="left" w:pos="960" w:leader="none"/>
        </w:tabs>
        <w:ind w:firstLine="709" w:start="0" w:end="0"/>
        <w:jc w:val="both"/>
        <w:rPr/>
      </w:pPr>
      <w:r>
        <w:rPr/>
        <w:t>При указании сведений о цене договора, предложенной участником в заявке, не допускаются разночтения между суммой, указной цифрами и суммой, указанной прописью. Также не допускаются разночтения между ценой, указанной в заявке и ценой, полученной путем суммирования единичных цен товаров, работ, услуг, указанных в заявке, а также их сумм.</w:t>
      </w:r>
    </w:p>
    <w:p>
      <w:pPr>
        <w:pStyle w:val="Normal"/>
        <w:widowControl/>
        <w:numPr>
          <w:ilvl w:val="2"/>
          <w:numId w:val="1"/>
        </w:numPr>
        <w:tabs>
          <w:tab w:val="clear" w:pos="720"/>
          <w:tab w:val="left" w:pos="960" w:leader="none"/>
        </w:tabs>
        <w:ind w:firstLine="709" w:start="0" w:end="0"/>
        <w:jc w:val="both"/>
        <w:rPr/>
      </w:pPr>
      <w:r>
        <w:rPr/>
        <w:t xml:space="preserve">Цена договора/основной коэффициент снижения от НМЦ договора (в случае если </w:t>
      </w:r>
      <w:hyperlink w:anchor="_Форма_3_ТЕХНИКО-КОММЕРЧЕСКОЕ_1">
        <w:r>
          <w:rPr>
            <w:rStyle w:val="Style4"/>
          </w:rPr>
          <w:t>Формой 2 раздела III «ФОРМЫ ДЛЯ ЗАПОЛНЕНИЯ УЧАСТНИКАМИ ЗАКУПКИ»</w:t>
        </w:r>
      </w:hyperlink>
      <w:r>
        <w:rPr>
          <w:u w:val="none"/>
        </w:rPr>
        <w:t xml:space="preserve"> </w:t>
      </w:r>
      <w:r>
        <w:rPr/>
        <w:t>предусмотрена подача коэффициента снижения), предложенные участником в заявке, и цена договора/основной коэффициент снижения от НМЦ договора, указанные участником на ЭТП (с помощью функционала ЭТП), должны совпадать. В случае наличия разночтений между информацией, указанной в заявке, и информацией, указанной в поле ЭТП (с помощью функционала ЭТП), преимущество имеет информация, указанная на ЭТП.</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55" w:name="__RefHeading___22"/>
      <w:bookmarkEnd w:id="55"/>
      <w:r>
        <w:rPr>
          <w:b/>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pPr>
        <w:pStyle w:val="Normal"/>
        <w:widowControl/>
        <w:numPr>
          <w:ilvl w:val="2"/>
          <w:numId w:val="1"/>
        </w:numPr>
        <w:tabs>
          <w:tab w:val="clear" w:pos="720"/>
          <w:tab w:val="left" w:pos="284" w:leader="none"/>
        </w:tabs>
        <w:ind w:firstLine="709" w:start="0" w:end="0"/>
        <w:jc w:val="both"/>
        <w:rPr/>
      </w:pPr>
      <w:r>
        <w:rPr/>
        <w:t xml:space="preserve">Описание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осуществляется в соответствии с </w:t>
      </w:r>
      <w:hyperlink w:anchor="_Форма_3_ТЕХНИКО-КОММЕРЧЕСКОЕ_1">
        <w:r>
          <w:rPr>
            <w:rStyle w:val="Style4"/>
          </w:rPr>
          <w:t>Формой 2 раздела III «ФОРМЫ ДЛЯ ЗАПОЛНЕНИЯ УЧАСТНИКАМИ ЗАКУПКИ»</w:t>
        </w:r>
      </w:hyperlink>
      <w:r>
        <w:rPr/>
        <w:t>.</w:t>
      </w:r>
    </w:p>
    <w:p>
      <w:pPr>
        <w:pStyle w:val="Normal"/>
        <w:widowControl/>
        <w:numPr>
          <w:ilvl w:val="2"/>
          <w:numId w:val="1"/>
        </w:numPr>
        <w:tabs>
          <w:tab w:val="clear" w:pos="720"/>
          <w:tab w:val="left" w:pos="284" w:leader="none"/>
          <w:tab w:val="left" w:pos="960" w:leader="none"/>
        </w:tabs>
        <w:ind w:firstLine="709" w:start="0" w:end="0"/>
        <w:jc w:val="both"/>
        <w:rPr/>
      </w:pPr>
      <w:r>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заявке победителя/единственного участника.</w:t>
      </w:r>
    </w:p>
    <w:p>
      <w:pPr>
        <w:pStyle w:val="NormalWeb1"/>
        <w:keepNext w:val="true"/>
        <w:widowControl/>
        <w:numPr>
          <w:ilvl w:val="0"/>
          <w:numId w:val="1"/>
        </w:numPr>
        <w:tabs>
          <w:tab w:val="clear" w:pos="720"/>
          <w:tab w:val="left" w:pos="1418" w:leader="none"/>
          <w:tab w:val="left" w:pos="2912" w:leader="none"/>
        </w:tabs>
        <w:spacing w:before="120" w:after="0"/>
        <w:ind w:hanging="360" w:start="360" w:end="0"/>
        <w:jc w:val="center"/>
        <w:outlineLvl w:val="1"/>
        <w:rPr>
          <w:b/>
          <w:sz w:val="28"/>
        </w:rPr>
      </w:pPr>
      <w:bookmarkStart w:id="56" w:name="__RefHeading___23"/>
      <w:bookmarkStart w:id="57" w:name="_Ref441222309_Копия_1"/>
      <w:bookmarkEnd w:id="56"/>
      <w:bookmarkEnd w:id="57"/>
      <w:r>
        <w:rPr>
          <w:b/>
          <w:sz w:val="28"/>
        </w:rPr>
        <w:t>ПОРЯДОК ПОДАЧИ ЗАЯВОК</w:t>
      </w:r>
    </w:p>
    <w:p>
      <w:pPr>
        <w:pStyle w:val="NormalWeb1"/>
        <w:keepNext w:val="true"/>
        <w:widowControl/>
        <w:numPr>
          <w:ilvl w:val="1"/>
          <w:numId w:val="1"/>
        </w:numPr>
        <w:tabs>
          <w:tab w:val="clear" w:pos="720"/>
          <w:tab w:val="left" w:pos="1276" w:leader="none"/>
        </w:tabs>
        <w:spacing w:before="0" w:after="0"/>
        <w:ind w:firstLine="709" w:start="0" w:end="0"/>
        <w:jc w:val="both"/>
        <w:outlineLvl w:val="1"/>
        <w:rPr>
          <w:b/>
        </w:rPr>
      </w:pPr>
      <w:bookmarkStart w:id="58" w:name="__RefHeading___24"/>
      <w:bookmarkStart w:id="59" w:name="_Hlk528068338"/>
      <w:bookmarkStart w:id="60" w:name="_Ref57203191"/>
      <w:bookmarkEnd w:id="58"/>
      <w:r>
        <w:rPr>
          <w:b/>
        </w:rPr>
        <w:t>Порядок подачи заявок</w:t>
      </w:r>
      <w:bookmarkEnd w:id="60"/>
      <w:r>
        <w:rPr>
          <w:b/>
        </w:rPr>
        <w:t xml:space="preserve"> </w:t>
      </w:r>
      <w:bookmarkEnd w:id="59"/>
    </w:p>
    <w:p>
      <w:pPr>
        <w:pStyle w:val="Normal"/>
        <w:widowControl/>
        <w:numPr>
          <w:ilvl w:val="2"/>
          <w:numId w:val="1"/>
        </w:numPr>
        <w:tabs>
          <w:tab w:val="clear" w:pos="720"/>
          <w:tab w:val="left" w:pos="960" w:leader="none"/>
        </w:tabs>
        <w:ind w:firstLine="709" w:start="0" w:end="0"/>
        <w:jc w:val="both"/>
        <w:rPr/>
      </w:pPr>
      <w:r>
        <w:rPr/>
        <w:t>Для участия в закупке участник должен подать заявку на участие в закупке с использованием функционала ЭТП и в соответствии с регламентом ЭТП.</w:t>
      </w:r>
    </w:p>
    <w:p>
      <w:pPr>
        <w:pStyle w:val="Normal"/>
        <w:widowControl/>
        <w:numPr>
          <w:ilvl w:val="2"/>
          <w:numId w:val="1"/>
        </w:numPr>
        <w:tabs>
          <w:tab w:val="clear" w:pos="720"/>
          <w:tab w:val="left" w:pos="960" w:leader="none"/>
        </w:tabs>
        <w:ind w:firstLine="709" w:start="0" w:end="0"/>
        <w:jc w:val="both"/>
        <w:rPr/>
      </w:pPr>
      <w:r>
        <w:rPr/>
        <w:t>Документы и сведения, размещаемые участником закупки на ЭТП, подписываются ЭП лица, имеющего право действовать от имени участника закупки.</w:t>
      </w:r>
    </w:p>
    <w:p>
      <w:pPr>
        <w:pStyle w:val="Normal"/>
        <w:widowControl/>
        <w:numPr>
          <w:ilvl w:val="2"/>
          <w:numId w:val="1"/>
        </w:numPr>
        <w:tabs>
          <w:tab w:val="clear" w:pos="720"/>
          <w:tab w:val="left" w:pos="960" w:leader="none"/>
        </w:tabs>
        <w:ind w:firstLine="709" w:start="0" w:end="0"/>
        <w:jc w:val="both"/>
        <w:rPr/>
      </w:pPr>
      <w:r>
        <w:rPr/>
        <w:t>Подача участником заявки на участие в закупке подтверждает, что участником приняты в полном объёме и безоговорочно все условия извещения и документации.</w:t>
      </w:r>
    </w:p>
    <w:p>
      <w:pPr>
        <w:pStyle w:val="Normal"/>
        <w:widowControl/>
        <w:numPr>
          <w:ilvl w:val="2"/>
          <w:numId w:val="1"/>
        </w:numPr>
        <w:tabs>
          <w:tab w:val="clear" w:pos="720"/>
          <w:tab w:val="left" w:pos="960" w:leader="none"/>
        </w:tabs>
        <w:ind w:firstLine="709" w:start="0" w:end="0"/>
        <w:jc w:val="both"/>
        <w:rPr/>
      </w:pPr>
      <w:bookmarkStart w:id="61" w:name="_Ref57203245"/>
      <w:r>
        <w:rPr/>
        <w:t xml:space="preserve">В отношении каждого лота участник закупки вправе подать только одну заявку на участие в закупке (за исключением разрешенных альтернатив в составе заявки, если п. </w:t>
      </w:r>
      <w:r>
        <w:rPr/>
        <w:fldChar w:fldCharType="begin"/>
      </w:r>
      <w:r>
        <w:rPr/>
        <w:instrText xml:space="preserve"> REF _Ref378846859 \r \r \h </w:instrText>
      </w:r>
      <w:r>
        <w:rPr/>
        <w:fldChar w:fldCharType="separate"/>
      </w:r>
      <w:r>
        <w:rPr/>
        <w:t>19</w:t>
      </w:r>
      <w:r>
        <w:rPr/>
        <w:fldChar w:fldCharType="end"/>
      </w:r>
      <w:r>
        <w:rPr/>
        <w:t xml:space="preserve"> раздела </w:t>
      </w:r>
      <w:hyperlink w:anchor="_Форма_1_ЗАЯВКА">
        <w:r>
          <w:rPr>
            <w:rStyle w:val="Style4"/>
          </w:rPr>
          <w:t>II «ИНФОРМАЦИОННАЯ КАРТА»</w:t>
        </w:r>
      </w:hyperlink>
      <w:r>
        <w:rPr/>
        <w:t xml:space="preserve"> документации разрешена подача альтернативных предложений).</w:t>
      </w:r>
      <w:bookmarkEnd w:id="61"/>
      <w:r>
        <w:rPr/>
        <w:t xml:space="preserve"> В случае подачи заявки на участие в закупке в отношении одного лота группой лиц, такие лица не вправе участвовать в закупке в отношении этого же лота самостоятельно (индивидуально) или на стороне другого (группового) участника закупки. Несоблюдение данного требования является основанием для отклонения всех заявок, поданных на лот, в которых фигурируют такие лица.</w:t>
      </w:r>
    </w:p>
    <w:p>
      <w:pPr>
        <w:pStyle w:val="Normal"/>
        <w:widowControl/>
        <w:numPr>
          <w:ilvl w:val="2"/>
          <w:numId w:val="1"/>
        </w:numPr>
        <w:tabs>
          <w:tab w:val="clear" w:pos="720"/>
          <w:tab w:val="left" w:pos="960" w:leader="none"/>
        </w:tabs>
        <w:ind w:firstLine="709" w:start="0" w:end="0"/>
        <w:jc w:val="both"/>
        <w:rPr/>
      </w:pPr>
      <w:r>
        <w:rPr/>
        <w:t xml:space="preserve">Датой начала срока подачи заявок на участие в закупке является дата размещения извещения на ЭТП. </w:t>
      </w:r>
    </w:p>
    <w:p>
      <w:pPr>
        <w:pStyle w:val="Normal"/>
        <w:widowControl/>
        <w:numPr>
          <w:ilvl w:val="2"/>
          <w:numId w:val="1"/>
        </w:numPr>
        <w:tabs>
          <w:tab w:val="clear" w:pos="720"/>
          <w:tab w:val="left" w:pos="960" w:leader="none"/>
        </w:tabs>
        <w:ind w:firstLine="709" w:start="0" w:end="0"/>
        <w:jc w:val="both"/>
        <w:rPr/>
      </w:pPr>
      <w:r>
        <w:rPr/>
        <w:t xml:space="preserve">Прием заявок на участие в закупке прекращается с наступлением срока окончания подачи заявок на участие в закупке, указанного в п. </w:t>
      </w:r>
      <w:r>
        <w:rPr/>
        <w:fldChar w:fldCharType="begin"/>
      </w:r>
      <w:r>
        <w:rPr/>
        <w:instrText xml:space="preserve"> REF _Ref368304315 \r \r \h </w:instrText>
      </w:r>
      <w:r>
        <w:rPr/>
        <w:fldChar w:fldCharType="separate"/>
      </w:r>
      <w:r>
        <w:rPr/>
        <w:t>13</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Заявка на участие в закупке, поступившая после истечения срока подачи заявок, не рассматривается.</w:t>
      </w:r>
    </w:p>
    <w:p>
      <w:pPr>
        <w:pStyle w:val="Normal"/>
        <w:widowControl/>
        <w:numPr>
          <w:ilvl w:val="2"/>
          <w:numId w:val="1"/>
        </w:numPr>
        <w:tabs>
          <w:tab w:val="clear" w:pos="720"/>
          <w:tab w:val="left" w:pos="960" w:leader="none"/>
        </w:tabs>
        <w:ind w:firstLine="709" w:start="0" w:end="0"/>
        <w:jc w:val="both"/>
        <w:rPr/>
      </w:pPr>
      <w:r>
        <w:rPr/>
        <w:t>В случае, если по окончании срока подачи заявок подана только одна заявка или не подано ни одной заявки, процедура закупки признается несостоявшейся.</w:t>
      </w:r>
    </w:p>
    <w:p>
      <w:pPr>
        <w:pStyle w:val="Normal"/>
        <w:widowControl/>
        <w:numPr>
          <w:ilvl w:val="2"/>
          <w:numId w:val="1"/>
        </w:numPr>
        <w:tabs>
          <w:tab w:val="clear" w:pos="720"/>
          <w:tab w:val="left" w:pos="960" w:leader="none"/>
        </w:tabs>
        <w:ind w:firstLine="709" w:start="0" w:end="0"/>
        <w:jc w:val="both"/>
        <w:rPr/>
      </w:pPr>
      <w:bookmarkStart w:id="62" w:name="_Ref58245048"/>
      <w:r>
        <w:rPr/>
        <w:t xml:space="preserve">В случае если это предусмотрено п. </w:t>
      </w:r>
      <w:r>
        <w:rPr/>
        <w:fldChar w:fldCharType="begin"/>
      </w:r>
      <w:r>
        <w:rPr/>
        <w:instrText xml:space="preserve"> REF _Ref55321047 \r \r \h </w:instrText>
      </w:r>
      <w:r>
        <w:rPr/>
        <w:fldChar w:fldCharType="separate"/>
      </w:r>
      <w:r>
        <w:rPr/>
        <w:t>17</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участник имеет право снизить заявленную им цену, подав новое ценовое предложение, оформленное в соответствии с требованиями настоящей документации, посредством функционала ЭТП.</w:t>
      </w:r>
      <w:bookmarkEnd w:id="62"/>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63" w:name="__RefHeading___25"/>
      <w:bookmarkStart w:id="64" w:name="_Ref57203079"/>
      <w:bookmarkEnd w:id="63"/>
      <w:r>
        <w:rPr>
          <w:b/>
        </w:rPr>
        <w:t>Обеспечение заявки на участие в закупке</w:t>
      </w:r>
      <w:bookmarkEnd w:id="64"/>
    </w:p>
    <w:p>
      <w:pPr>
        <w:pStyle w:val="Normal"/>
        <w:widowControl/>
        <w:numPr>
          <w:ilvl w:val="2"/>
          <w:numId w:val="1"/>
        </w:numPr>
        <w:tabs>
          <w:tab w:val="clear" w:pos="720"/>
          <w:tab w:val="left" w:pos="960" w:leader="none"/>
        </w:tabs>
        <w:ind w:firstLine="709" w:start="0" w:end="0"/>
        <w:jc w:val="both"/>
        <w:rPr/>
      </w:pPr>
      <w:r>
        <w:rPr/>
        <w:t xml:space="preserve">В случае, если п. </w:t>
      </w:r>
      <w:r>
        <w:rPr/>
        <w:fldChar w:fldCharType="begin"/>
      </w:r>
      <w:r>
        <w:rPr/>
        <w:instrText xml:space="preserve"> REF _Ref55319739 \r \r \h </w:instrText>
      </w:r>
      <w:r>
        <w:rPr/>
        <w:fldChar w:fldCharType="separate"/>
      </w:r>
      <w:r>
        <w:rPr/>
        <w:t>7</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установлено требование о предоставлении обеспечения заявки на участие в закупке, участник должен предоставить обеспечение заявки в размере и валюте согласно требованиям, установленным в п. </w:t>
      </w:r>
      <w:r>
        <w:rPr/>
        <w:fldChar w:fldCharType="begin"/>
      </w:r>
      <w:r>
        <w:rPr/>
        <w:instrText xml:space="preserve"> REF _Ref55319739 \r \r \h </w:instrText>
      </w:r>
      <w:r>
        <w:rPr/>
        <w:fldChar w:fldCharType="separate"/>
      </w:r>
      <w:r>
        <w:rPr/>
        <w:t>7</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p>
    <w:p>
      <w:pPr>
        <w:pStyle w:val="Normal"/>
        <w:widowControl/>
        <w:numPr>
          <w:ilvl w:val="2"/>
          <w:numId w:val="1"/>
        </w:numPr>
        <w:tabs>
          <w:tab w:val="clear" w:pos="720"/>
          <w:tab w:val="left" w:pos="960" w:leader="none"/>
        </w:tabs>
        <w:ind w:firstLine="709" w:start="0" w:end="0"/>
        <w:jc w:val="both"/>
        <w:rPr/>
      </w:pPr>
      <w:r>
        <w:rPr/>
        <w:t xml:space="preserve">Обеспечение заявки должно быть предоставлено участником не позднее даты и времени окончания срока подачи заявок на участие в закупке по форме, установленной в п. </w:t>
      </w:r>
      <w:r>
        <w:rPr/>
        <w:fldChar w:fldCharType="begin"/>
      </w:r>
      <w:r>
        <w:rPr/>
        <w:instrText xml:space="preserve"> REF _Ref55319739 \r \r \h </w:instrText>
      </w:r>
      <w:r>
        <w:rPr/>
        <w:fldChar w:fldCharType="separate"/>
      </w:r>
      <w:r>
        <w:rPr/>
        <w:t>7</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w:t>
      </w:r>
    </w:p>
    <w:p>
      <w:pPr>
        <w:pStyle w:val="Normal"/>
        <w:widowControl/>
        <w:numPr>
          <w:ilvl w:val="2"/>
          <w:numId w:val="1"/>
        </w:numPr>
        <w:tabs>
          <w:tab w:val="clear" w:pos="720"/>
          <w:tab w:val="left" w:pos="960" w:leader="none"/>
        </w:tabs>
        <w:ind w:firstLine="709" w:start="0" w:end="0"/>
        <w:jc w:val="both"/>
        <w:rPr/>
      </w:pPr>
      <w:r>
        <w:rPr/>
        <w:t>В случае предоставления обеспечения заявки путем внесения денежных средств, такие денежные средства вносятся на счет ЭТП в соответствии с регламентом работы ЭТП.</w:t>
      </w:r>
    </w:p>
    <w:p>
      <w:pPr>
        <w:pStyle w:val="Normal"/>
        <w:widowControl/>
        <w:numPr>
          <w:ilvl w:val="2"/>
          <w:numId w:val="1"/>
        </w:numPr>
        <w:tabs>
          <w:tab w:val="clear" w:pos="720"/>
          <w:tab w:val="left" w:pos="960" w:leader="none"/>
        </w:tabs>
        <w:ind w:firstLine="709" w:start="0" w:end="0"/>
        <w:jc w:val="both"/>
        <w:rPr/>
      </w:pPr>
      <w:r>
        <w:rPr/>
        <w:t xml:space="preserve">В случае предоставления обеспечения заявки путем направления банковской гарантии, банковская гарантия должна быть выдана любым из банков, осуществляющих банковскую деятельность на территории РФ на основании лицензии Банка России. Актуальный список рекомендуемых банков по ссылке: </w:t>
      </w:r>
      <w:hyperlink r:id="rId14">
        <w:r>
          <w:rPr>
            <w:rStyle w:val="Style4"/>
          </w:rPr>
          <w:t>http://zakupki.rostelecom.ru/docs/manual/</w:t>
        </w:r>
      </w:hyperlink>
      <w:r>
        <w:rPr/>
        <w:t>.</w:t>
      </w:r>
    </w:p>
    <w:p>
      <w:pPr>
        <w:pStyle w:val="Normal"/>
        <w:widowControl/>
        <w:numPr>
          <w:ilvl w:val="2"/>
          <w:numId w:val="1"/>
        </w:numPr>
        <w:tabs>
          <w:tab w:val="clear" w:pos="720"/>
          <w:tab w:val="left" w:pos="960" w:leader="none"/>
        </w:tabs>
        <w:ind w:firstLine="709" w:start="0" w:end="0"/>
        <w:jc w:val="both"/>
        <w:rPr/>
      </w:pPr>
      <w:r>
        <w:rPr/>
        <w:t>Для целей определения терминов в настоящем пункте документации под следующими терминами понимается:</w:t>
      </w:r>
    </w:p>
    <w:p>
      <w:pPr>
        <w:pStyle w:val="Normal"/>
        <w:widowControl/>
        <w:spacing w:lineRule="atLeast" w:line="23"/>
        <w:ind w:firstLine="709" w:start="0" w:end="0"/>
        <w:jc w:val="both"/>
        <w:rPr/>
      </w:pPr>
      <w:r>
        <w:rPr/>
        <w:t>Гарант – банк, иное кредитное учреждение или страховая организация, выдающее банковскую гарантию;</w:t>
      </w:r>
    </w:p>
    <w:p>
      <w:pPr>
        <w:pStyle w:val="Normal"/>
        <w:widowControl/>
        <w:spacing w:lineRule="atLeast" w:line="23"/>
        <w:ind w:firstLine="709" w:start="0" w:end="0"/>
        <w:jc w:val="both"/>
        <w:rPr/>
      </w:pPr>
      <w:r>
        <w:rPr/>
        <w:t>Принципал –участник;</w:t>
      </w:r>
    </w:p>
    <w:p>
      <w:pPr>
        <w:pStyle w:val="Normal"/>
        <w:widowControl/>
        <w:spacing w:lineRule="atLeast" w:line="23"/>
        <w:ind w:firstLine="709" w:start="0" w:end="0"/>
        <w:jc w:val="both"/>
        <w:rPr/>
      </w:pPr>
      <w:r>
        <w:rPr/>
        <w:t>Бенефициар – Заказчик.</w:t>
      </w:r>
    </w:p>
    <w:p>
      <w:pPr>
        <w:pStyle w:val="Normal"/>
        <w:widowControl/>
        <w:tabs>
          <w:tab w:val="clear" w:pos="720"/>
          <w:tab w:val="left" w:pos="1004" w:leader="none"/>
        </w:tabs>
        <w:ind w:firstLine="709" w:start="0" w:end="0"/>
        <w:jc w:val="both"/>
        <w:rPr/>
      </w:pPr>
      <w:r>
        <w:rPr/>
        <w:t xml:space="preserve">В банковской гарантии должны содержаться условия, позволяющие надлежащим образом определить заявку, в обеспечение которой она выдана, а также следующие условия: </w:t>
      </w:r>
    </w:p>
    <w:p>
      <w:pPr>
        <w:pStyle w:val="Normal"/>
        <w:widowControl/>
        <w:spacing w:lineRule="atLeast" w:line="23"/>
        <w:ind w:firstLine="709" w:start="0" w:end="0"/>
        <w:jc w:val="both"/>
        <w:rPr/>
      </w:pPr>
      <w:r>
        <w:rPr/>
        <w:t>1) Указание наименования Принципала и Бенефициара по такой банковской гарантии;</w:t>
      </w:r>
    </w:p>
    <w:p>
      <w:pPr>
        <w:pStyle w:val="Normal"/>
        <w:widowControl/>
        <w:spacing w:lineRule="atLeast" w:line="23"/>
        <w:ind w:firstLine="709" w:start="0" w:end="0"/>
        <w:jc w:val="both"/>
        <w:rPr/>
      </w:pPr>
      <w:r>
        <w:rPr/>
        <w:t>2) Сумма банковской гарантии, соответствующую размеру обеспечения заявки, указанному в документации и подлежащую уплате Гарантом Бенефициару;</w:t>
      </w:r>
    </w:p>
    <w:p>
      <w:pPr>
        <w:pStyle w:val="Normal"/>
        <w:widowControl/>
        <w:spacing w:lineRule="atLeast" w:line="23"/>
        <w:ind w:firstLine="709" w:start="0" w:end="0"/>
        <w:jc w:val="both"/>
        <w:rPr/>
      </w:pPr>
      <w:r>
        <w:rPr/>
        <w:t>3) Обязанность Гаранта уплатить Бенефициару по письменному требованию последнего сумму банковской гарантии в случае уклонения или отказа Принципала от заключения договора по итогам закупки либо в случае не предоставления или предоставления с нарушением условий, до заключения договора Заказчику обеспечения исполнения договора (в случае, если документацией установлены требования обеспечения исполнения договора и срок его предоставления до заключения договора);</w:t>
      </w:r>
    </w:p>
    <w:p>
      <w:pPr>
        <w:pStyle w:val="Normal"/>
        <w:widowControl/>
        <w:spacing w:lineRule="atLeast" w:line="23"/>
        <w:ind w:firstLine="709" w:start="0" w:end="0"/>
        <w:jc w:val="both"/>
        <w:rPr/>
      </w:pPr>
      <w:r>
        <w:rPr/>
        <w:t>4) Банковская гарантия должна быть безотзывной;</w:t>
      </w:r>
    </w:p>
    <w:p>
      <w:pPr>
        <w:pStyle w:val="Normal"/>
        <w:widowControl/>
        <w:spacing w:lineRule="atLeast" w:line="23"/>
        <w:ind w:firstLine="709" w:start="0" w:end="0"/>
        <w:jc w:val="both"/>
        <w:rPr/>
      </w:pPr>
      <w:r>
        <w:rPr/>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pPr>
        <w:pStyle w:val="Normal"/>
        <w:widowControl/>
        <w:spacing w:lineRule="atLeast" w:line="23"/>
        <w:ind w:firstLine="709" w:start="0" w:end="0"/>
        <w:jc w:val="both"/>
        <w:rPr/>
      </w:pPr>
      <w:r>
        <w:rPr/>
        <w:t>6)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pPr>
        <w:pStyle w:val="Normal"/>
        <w:widowControl/>
        <w:spacing w:lineRule="atLeast" w:line="23"/>
        <w:ind w:firstLine="709" w:start="0" w:end="0"/>
        <w:jc w:val="both"/>
        <w:rPr/>
      </w:pPr>
      <w:r>
        <w:rPr/>
        <w:t>7) Срок действия банковской гарантии должен быть не менее 90 (Девяносто) календарных дней со дня, следующего за установленной датой открытия доступа к заявкам, которая указана в документации;</w:t>
      </w:r>
    </w:p>
    <w:p>
      <w:pPr>
        <w:pStyle w:val="Normal"/>
        <w:widowControl/>
        <w:spacing w:lineRule="atLeast" w:line="23"/>
        <w:ind w:firstLine="709" w:start="0" w:end="0"/>
        <w:jc w:val="both"/>
        <w:rPr/>
      </w:pPr>
      <w:r>
        <w:rPr/>
        <w:t xml:space="preserve">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pPr>
        <w:pStyle w:val="Normal"/>
        <w:widowControl/>
        <w:numPr>
          <w:ilvl w:val="2"/>
          <w:numId w:val="1"/>
        </w:numPr>
        <w:tabs>
          <w:tab w:val="clear" w:pos="720"/>
          <w:tab w:val="left" w:pos="960" w:leader="none"/>
        </w:tabs>
        <w:ind w:firstLine="709" w:start="0" w:end="0"/>
        <w:jc w:val="both"/>
        <w:rPr/>
      </w:pPr>
      <w:r>
        <w:rPr/>
        <w:t xml:space="preserve">Предоставляемая Банковская гарантия оформляется в соответствии с требованиями п. </w:t>
      </w:r>
      <w:r>
        <w:rPr/>
        <w:fldChar w:fldCharType="begin"/>
      </w:r>
      <w:r>
        <w:rPr/>
        <w:instrText xml:space="preserve"> REF _Ref55319739 \r \r \h </w:instrText>
      </w:r>
      <w:r>
        <w:rPr/>
        <w:fldChar w:fldCharType="separate"/>
      </w:r>
      <w:r>
        <w:rPr/>
        <w:t>7</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p>
    <w:p>
      <w:pPr>
        <w:pStyle w:val="Normal"/>
        <w:widowControl/>
        <w:numPr>
          <w:ilvl w:val="2"/>
          <w:numId w:val="1"/>
        </w:numPr>
        <w:tabs>
          <w:tab w:val="clear" w:pos="720"/>
          <w:tab w:val="left" w:pos="960" w:leader="none"/>
        </w:tabs>
        <w:ind w:firstLine="709" w:start="0" w:end="0"/>
        <w:jc w:val="both"/>
        <w:rPr/>
      </w:pPr>
      <w:r>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pPr>
        <w:pStyle w:val="Normal"/>
        <w:widowControl/>
        <w:numPr>
          <w:ilvl w:val="2"/>
          <w:numId w:val="1"/>
        </w:numPr>
        <w:tabs>
          <w:tab w:val="clear" w:pos="720"/>
          <w:tab w:val="left" w:pos="1134" w:leader="none"/>
        </w:tabs>
        <w:ind w:firstLine="709" w:start="0" w:end="0"/>
        <w:jc w:val="both"/>
        <w:rPr/>
      </w:pPr>
      <w:r>
        <w:rPr/>
        <w:t>Предоставление в составе заявки на участие в закупке банковской гарантии, несоответствующей требованиям законодательства РФ и требованиям, содержащимся в настоящей документацией, является основанием для отклонения заявки участника.</w:t>
      </w:r>
    </w:p>
    <w:p>
      <w:pPr>
        <w:pStyle w:val="Normal"/>
        <w:widowControl/>
        <w:numPr>
          <w:ilvl w:val="2"/>
          <w:numId w:val="1"/>
        </w:numPr>
        <w:tabs>
          <w:tab w:val="clear" w:pos="720"/>
          <w:tab w:val="left" w:pos="1134" w:leader="none"/>
        </w:tabs>
        <w:ind w:firstLine="709" w:start="0" w:end="0"/>
        <w:jc w:val="both"/>
        <w:rPr/>
      </w:pPr>
      <w:r>
        <w:rPr/>
        <w:t>Возврат участнику закупки обеспечения заявки на участие в закупке не производится в следующих случаях:</w:t>
      </w:r>
    </w:p>
    <w:p>
      <w:pPr>
        <w:pStyle w:val="ListParagraph1"/>
        <w:widowControl/>
        <w:numPr>
          <w:ilvl w:val="0"/>
          <w:numId w:val="2"/>
        </w:numPr>
        <w:tabs>
          <w:tab w:val="clear" w:pos="720"/>
          <w:tab w:val="left" w:pos="743" w:leader="none"/>
          <w:tab w:val="left" w:pos="1134" w:leader="none"/>
        </w:tabs>
        <w:spacing w:before="0" w:after="0"/>
        <w:ind w:firstLine="709" w:start="0" w:end="153"/>
        <w:contextualSpacing w:val="false"/>
        <w:jc w:val="both"/>
        <w:rPr/>
      </w:pPr>
      <w:r>
        <w:rPr/>
        <w:t>уклонение или отказ участника закупки от заключения договора.</w:t>
      </w:r>
    </w:p>
    <w:p>
      <w:pPr>
        <w:pStyle w:val="ListParagraph1"/>
        <w:widowControl/>
        <w:numPr>
          <w:ilvl w:val="0"/>
          <w:numId w:val="2"/>
        </w:numPr>
        <w:tabs>
          <w:tab w:val="clear" w:pos="720"/>
          <w:tab w:val="left" w:pos="743" w:leader="none"/>
          <w:tab w:val="left" w:pos="1134" w:leader="none"/>
        </w:tabs>
        <w:spacing w:before="0" w:after="0"/>
        <w:ind w:firstLine="709" w:start="0" w:end="153"/>
        <w:contextualSpacing w:val="false"/>
        <w:jc w:val="both"/>
        <w:rPr/>
      </w:pPr>
      <w:r>
        <w:rPr/>
        <w:t xml:space="preserve">непредоставление или предоставление с нарушением условий, установленных </w:t>
      </w:r>
      <w:hyperlink r:id="rId15">
        <w:r>
          <w:rPr>
            <w:rStyle w:val="Style4"/>
          </w:rPr>
          <w:t>Положением о закупках</w:t>
        </w:r>
      </w:hyperlink>
      <w:r>
        <w:rPr/>
        <w:t xml:space="preserve"> и документацией, до заключения договора обеспечения исполнения договора (в случае если в документации установлено требование о предоставлении обеспечения исполнения договора и срок его предоставления до заключения договора).</w:t>
      </w:r>
    </w:p>
    <w:p>
      <w:pPr>
        <w:pStyle w:val="Normal"/>
        <w:widowControl/>
        <w:numPr>
          <w:ilvl w:val="2"/>
          <w:numId w:val="1"/>
        </w:numPr>
        <w:tabs>
          <w:tab w:val="clear" w:pos="720"/>
          <w:tab w:val="left" w:pos="1134" w:leader="none"/>
        </w:tabs>
        <w:ind w:firstLine="709" w:start="0" w:end="0"/>
        <w:jc w:val="both"/>
        <w:rPr/>
      </w:pPr>
      <w:bookmarkStart w:id="65" w:name="_Ref55319980"/>
      <w:r>
        <w:rPr/>
        <w:t>Блокирование денежных средств на ЭТП, внесенных в качестве обеспечения заявки, осуществленное в порядке, предусмотренном регламентом ЭТП, прекращается в течение не более чем 1 (одного) рабочего дня с даты наступления одного из следующих случаев:</w:t>
      </w:r>
      <w:bookmarkEnd w:id="65"/>
    </w:p>
    <w:p>
      <w:pPr>
        <w:pStyle w:val="ListParagraph1"/>
        <w:widowControl/>
        <w:numPr>
          <w:ilvl w:val="0"/>
          <w:numId w:val="3"/>
        </w:numPr>
        <w:tabs>
          <w:tab w:val="clear" w:pos="720"/>
          <w:tab w:val="left" w:pos="743" w:leader="none"/>
          <w:tab w:val="left" w:pos="1134" w:leader="none"/>
        </w:tabs>
        <w:spacing w:before="0" w:after="0"/>
        <w:ind w:firstLine="709" w:start="22" w:end="153"/>
        <w:contextualSpacing w:val="false"/>
        <w:jc w:val="both"/>
        <w:rPr/>
      </w:pPr>
      <w:r>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и участника, занявшего второе место, которым такие денежные средства возвращаются или блокирование таких денежных средств которых прекращается в случае заключения договора.</w:t>
      </w:r>
    </w:p>
    <w:p>
      <w:pPr>
        <w:pStyle w:val="ListParagraph1"/>
        <w:widowControl/>
        <w:numPr>
          <w:ilvl w:val="0"/>
          <w:numId w:val="3"/>
        </w:numPr>
        <w:tabs>
          <w:tab w:val="clear" w:pos="720"/>
          <w:tab w:val="left" w:pos="743" w:leader="none"/>
          <w:tab w:val="left" w:pos="1134" w:leader="none"/>
        </w:tabs>
        <w:spacing w:before="0" w:after="0"/>
        <w:ind w:firstLine="709" w:start="0" w:end="153"/>
        <w:contextualSpacing w:val="false"/>
        <w:jc w:val="both"/>
        <w:rPr/>
      </w:pPr>
      <w:r>
        <w:rPr/>
        <w:t>отмена закупки.</w:t>
      </w:r>
    </w:p>
    <w:p>
      <w:pPr>
        <w:pStyle w:val="ListParagraph1"/>
        <w:widowControl/>
        <w:numPr>
          <w:ilvl w:val="0"/>
          <w:numId w:val="3"/>
        </w:numPr>
        <w:tabs>
          <w:tab w:val="clear" w:pos="720"/>
          <w:tab w:val="left" w:pos="743" w:leader="none"/>
          <w:tab w:val="left" w:pos="1134" w:leader="none"/>
        </w:tabs>
        <w:spacing w:before="0" w:after="0"/>
        <w:ind w:firstLine="709" w:start="0" w:end="153"/>
        <w:contextualSpacing w:val="false"/>
        <w:jc w:val="both"/>
        <w:rPr/>
      </w:pPr>
      <w:r>
        <w:rPr/>
        <w:t>отклонение заявки участника закупки.</w:t>
      </w:r>
    </w:p>
    <w:p>
      <w:pPr>
        <w:pStyle w:val="ListParagraph1"/>
        <w:widowControl/>
        <w:numPr>
          <w:ilvl w:val="0"/>
          <w:numId w:val="3"/>
        </w:numPr>
        <w:tabs>
          <w:tab w:val="clear" w:pos="720"/>
          <w:tab w:val="left" w:pos="743" w:leader="none"/>
          <w:tab w:val="left" w:pos="1134" w:leader="none"/>
        </w:tabs>
        <w:spacing w:before="0" w:after="0"/>
        <w:ind w:firstLine="709" w:start="0" w:end="153"/>
        <w:contextualSpacing w:val="false"/>
        <w:jc w:val="both"/>
        <w:rPr/>
      </w:pPr>
      <w:r>
        <w:rPr/>
        <w:t>отзыв заявки участником закупки до окончания срока подачи заявок.</w:t>
      </w:r>
    </w:p>
    <w:p>
      <w:pPr>
        <w:pStyle w:val="ListParagraph1"/>
        <w:widowControl/>
        <w:numPr>
          <w:ilvl w:val="0"/>
          <w:numId w:val="3"/>
        </w:numPr>
        <w:tabs>
          <w:tab w:val="clear" w:pos="720"/>
          <w:tab w:val="left" w:pos="743" w:leader="none"/>
          <w:tab w:val="left" w:pos="1134" w:leader="none"/>
        </w:tabs>
        <w:spacing w:before="0" w:after="0"/>
        <w:ind w:firstLine="709" w:start="0" w:end="153"/>
        <w:contextualSpacing w:val="false"/>
        <w:jc w:val="both"/>
        <w:rPr/>
      </w:pPr>
      <w:r>
        <w:rPr/>
        <w:t>получение заявки на участие в закупке после окончания срока подачи заявок.</w:t>
      </w:r>
    </w:p>
    <w:p>
      <w:pPr>
        <w:pStyle w:val="ListParagraph1"/>
        <w:widowControl/>
        <w:numPr>
          <w:ilvl w:val="0"/>
          <w:numId w:val="3"/>
        </w:numPr>
        <w:tabs>
          <w:tab w:val="clear" w:pos="720"/>
          <w:tab w:val="left" w:pos="743" w:leader="none"/>
          <w:tab w:val="left" w:pos="1134" w:leader="none"/>
        </w:tabs>
        <w:spacing w:before="0" w:after="0"/>
        <w:ind w:firstLine="709" w:start="0" w:end="153"/>
        <w:contextualSpacing w:val="false"/>
        <w:jc w:val="both"/>
        <w:rPr/>
      </w:pPr>
      <w:r>
        <w:rPr/>
        <w:t xml:space="preserve"> </w:t>
      </w:r>
      <w:r>
        <w:rPr/>
        <w:t>завершение процедуры закупки без заключения договора.</w:t>
      </w:r>
    </w:p>
    <w:p>
      <w:pPr>
        <w:pStyle w:val="Normal"/>
        <w:widowControl/>
        <w:numPr>
          <w:ilvl w:val="2"/>
          <w:numId w:val="1"/>
        </w:numPr>
        <w:tabs>
          <w:tab w:val="clear" w:pos="720"/>
          <w:tab w:val="left" w:pos="1134" w:leader="none"/>
        </w:tabs>
        <w:ind w:firstLine="709" w:start="0" w:end="0"/>
        <w:jc w:val="both"/>
        <w:rPr/>
      </w:pPr>
      <w:r>
        <w:rPr/>
        <w:t xml:space="preserve">Возврат Заказчиком банковской гарантии в случаях, указанных в п. </w:t>
      </w:r>
      <w:r>
        <w:rPr/>
        <w:fldChar w:fldCharType="begin"/>
      </w:r>
      <w:r>
        <w:rPr/>
        <w:instrText xml:space="preserve"> REF _Ref55319980 \r \r \h </w:instrText>
      </w:r>
      <w:r>
        <w:rPr/>
        <w:fldChar w:fldCharType="separate"/>
      </w:r>
      <w:r>
        <w:rPr/>
        <w:t>6.2.10</w:t>
      </w:r>
      <w:r>
        <w:rPr/>
        <w:fldChar w:fldCharType="end"/>
      </w:r>
      <w:r>
        <w:rPr/>
        <w:t xml:space="preserve"> настоящего раздела документации, лицу или Гаранту, предоставившим банковскую гарантию, не осуществляется, взыскание по ней не производится.</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66" w:name="__RefHeading___26"/>
      <w:bookmarkEnd w:id="66"/>
      <w:r>
        <w:rPr>
          <w:b/>
        </w:rPr>
        <w:t xml:space="preserve">Порядок внесения изменений или порядок отзыва заявок </w:t>
      </w:r>
    </w:p>
    <w:p>
      <w:pPr>
        <w:pStyle w:val="Normal"/>
        <w:widowControl/>
        <w:numPr>
          <w:ilvl w:val="2"/>
          <w:numId w:val="1"/>
        </w:numPr>
        <w:tabs>
          <w:tab w:val="clear" w:pos="720"/>
          <w:tab w:val="left" w:pos="960" w:leader="none"/>
        </w:tabs>
        <w:ind w:firstLine="709" w:start="0" w:end="0"/>
        <w:jc w:val="both"/>
        <w:rPr/>
      </w:pPr>
      <w:r>
        <w:rPr/>
        <w:t>Участник, подавший заявку, вправе изменить или отозвать заявку до истечения срока подачи заявок на участие в процедуре закупки путем направления уведомления об отзыве или о внесения изменений в заявку оператору ЭТП в порядке, установленном регламентом ЭТП.</w:t>
      </w:r>
    </w:p>
    <w:p>
      <w:pPr>
        <w:pStyle w:val="Normal"/>
        <w:widowControl/>
        <w:numPr>
          <w:ilvl w:val="2"/>
          <w:numId w:val="1"/>
        </w:numPr>
        <w:tabs>
          <w:tab w:val="clear" w:pos="720"/>
          <w:tab w:val="left" w:pos="960" w:leader="none"/>
        </w:tabs>
        <w:ind w:firstLine="709" w:start="0" w:end="0"/>
        <w:jc w:val="both"/>
        <w:rPr/>
      </w:pPr>
      <w:r>
        <w:rPr/>
        <w:t>Уведомление о внесении изменений или уведомление об отзыве заявки является действительным, если соответствующее уведомление получено оператором ЭТП до истечения даты и времени окончания срока подачи заявок на участие в процедуре закупки.</w:t>
      </w:r>
    </w:p>
    <w:p>
      <w:pPr>
        <w:pStyle w:val="Normal"/>
        <w:widowControl/>
        <w:numPr>
          <w:ilvl w:val="2"/>
          <w:numId w:val="1"/>
        </w:numPr>
        <w:tabs>
          <w:tab w:val="clear" w:pos="720"/>
          <w:tab w:val="left" w:pos="960" w:leader="none"/>
        </w:tabs>
        <w:ind w:firstLine="709" w:start="0" w:end="0"/>
        <w:jc w:val="both"/>
        <w:rPr/>
      </w:pPr>
      <w:r>
        <w:rPr/>
        <w:t xml:space="preserve">Заявка на участие в закупке является измененной или отозванной, если изменение осуществлено или уведомление об отзыве заявки получено Оператором ЭТП до истечения срока подачи заявок. </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67" w:name="__RefHeading___27"/>
      <w:bookmarkEnd w:id="67"/>
      <w:r>
        <w:rPr>
          <w:b/>
        </w:rPr>
        <w:t>Особенности подачи и рассмотрения заявки, содержащей альтернативные предложения</w:t>
      </w:r>
    </w:p>
    <w:p>
      <w:pPr>
        <w:pStyle w:val="Normal"/>
        <w:widowControl/>
        <w:numPr>
          <w:ilvl w:val="2"/>
          <w:numId w:val="1"/>
        </w:numPr>
        <w:tabs>
          <w:tab w:val="clear" w:pos="720"/>
          <w:tab w:val="left" w:pos="960" w:leader="none"/>
        </w:tabs>
        <w:ind w:firstLine="709" w:start="0" w:end="0"/>
        <w:jc w:val="both"/>
        <w:rPr/>
      </w:pPr>
      <w:bookmarkStart w:id="68" w:name="_Ref57203258"/>
      <w:r>
        <w:rPr/>
        <w:t xml:space="preserve">В случае если п. </w:t>
      </w:r>
      <w:r>
        <w:rPr/>
        <w:fldChar w:fldCharType="begin"/>
      </w:r>
      <w:r>
        <w:rPr/>
        <w:instrText xml:space="preserve"> REF _Ref378846859 \r \r \h </w:instrText>
      </w:r>
      <w:r>
        <w:rPr/>
        <w:fldChar w:fldCharType="separate"/>
      </w:r>
      <w:r>
        <w:rPr/>
        <w:t>19</w:t>
      </w:r>
      <w:r>
        <w:rPr/>
        <w:fldChar w:fldCharType="end"/>
      </w:r>
      <w:r>
        <w:rPr/>
        <w:t xml:space="preserve"> раздела </w:t>
      </w:r>
      <w:hyperlink w:anchor="_РАЗДЕЛ_II._ИНФОРМАЦИОННАЯ_1">
        <w:r>
          <w:rPr>
            <w:rStyle w:val="Style4"/>
          </w:rPr>
          <w:t>II «ИНФОРМАЦИОННАЯ КАРТА»</w:t>
        </w:r>
      </w:hyperlink>
      <w:r>
        <w:rPr/>
        <w:t xml:space="preserve"> предусмотрена подача альтернативного предложения, то такое альтернативное предложение подается только в отношении установленных требований к продукции или условиям договора, прямо указанных в п. п. </w:t>
      </w:r>
      <w:r>
        <w:rPr/>
        <w:fldChar w:fldCharType="begin"/>
      </w:r>
      <w:r>
        <w:rPr/>
        <w:instrText xml:space="preserve"> REF _Ref378846859 \r \r \h </w:instrText>
      </w:r>
      <w:r>
        <w:rPr/>
        <w:fldChar w:fldCharType="separate"/>
      </w:r>
      <w:r>
        <w:rPr/>
        <w:t>19</w:t>
      </w:r>
      <w:r>
        <w:rPr/>
        <w:fldChar w:fldCharType="end"/>
      </w:r>
      <w:r>
        <w:rPr/>
        <w:t xml:space="preserve"> раздела </w:t>
      </w:r>
      <w:hyperlink w:anchor="_РАЗДЕЛ_II._ИНФОРМАЦИОННАЯ_1">
        <w:r>
          <w:rPr>
            <w:rStyle w:val="Style4"/>
          </w:rPr>
          <w:t>II «ИНФОРМАЦИОННАЯ КАРТА»</w:t>
        </w:r>
      </w:hyperlink>
      <w:r>
        <w:rPr/>
        <w:t>.</w:t>
      </w:r>
      <w:bookmarkEnd w:id="68"/>
      <w:r>
        <w:rPr/>
        <w:t xml:space="preserve"> </w:t>
      </w:r>
    </w:p>
    <w:p>
      <w:pPr>
        <w:pStyle w:val="Normal"/>
        <w:widowControl/>
        <w:numPr>
          <w:ilvl w:val="2"/>
          <w:numId w:val="1"/>
        </w:numPr>
        <w:tabs>
          <w:tab w:val="clear" w:pos="720"/>
          <w:tab w:val="left" w:pos="960" w:leader="none"/>
        </w:tabs>
        <w:ind w:firstLine="709" w:start="0" w:end="0"/>
        <w:jc w:val="both"/>
        <w:rPr/>
      </w:pPr>
      <w:r>
        <w:rPr/>
        <w:t xml:space="preserve">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закупки содержит только одно предложение, такое предложение считается основным. По результату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 </w:t>
      </w:r>
    </w:p>
    <w:p>
      <w:pPr>
        <w:pStyle w:val="Normal"/>
        <w:widowControl/>
        <w:numPr>
          <w:ilvl w:val="2"/>
          <w:numId w:val="1"/>
        </w:numPr>
        <w:tabs>
          <w:tab w:val="clear" w:pos="720"/>
          <w:tab w:val="left" w:pos="960" w:leader="none"/>
        </w:tabs>
        <w:ind w:firstLine="709" w:start="0" w:end="0"/>
        <w:jc w:val="both"/>
        <w:rPr/>
      </w:pPr>
      <w:r>
        <w:rPr/>
        <w:t xml:space="preserve">Основания для допуска (отклонения) основного и альтернативных предложений не должны различаться, за исключением положений заявки, в отношении которых разрешается подача альтернативных положений.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предложение этого участника отклоняется. </w:t>
      </w:r>
    </w:p>
    <w:p>
      <w:pPr>
        <w:pStyle w:val="Normal"/>
        <w:widowControl/>
        <w:numPr>
          <w:ilvl w:val="2"/>
          <w:numId w:val="1"/>
        </w:numPr>
        <w:tabs>
          <w:tab w:val="clear" w:pos="720"/>
          <w:tab w:val="left" w:pos="960" w:leader="none"/>
        </w:tabs>
        <w:ind w:firstLine="709" w:start="0" w:end="0"/>
        <w:jc w:val="both"/>
        <w:rPr/>
      </w:pPr>
      <w:r>
        <w:rPr/>
        <w:t xml:space="preserve">При оценке и сопоставлении заявок и при выборе победителя закупки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неотклоненных предложений. Одинаковые параметры основного и альтернативных предложений оцениваются одинаково. </w:t>
      </w:r>
    </w:p>
    <w:p>
      <w:pPr>
        <w:pStyle w:val="Normal"/>
        <w:widowControl/>
        <w:numPr>
          <w:ilvl w:val="2"/>
          <w:numId w:val="1"/>
        </w:numPr>
        <w:tabs>
          <w:tab w:val="clear" w:pos="720"/>
          <w:tab w:val="left" w:pos="960" w:leader="none"/>
        </w:tabs>
        <w:ind w:firstLine="709" w:start="0" w:end="0"/>
        <w:jc w:val="both"/>
        <w:rPr/>
      </w:pPr>
      <w:r>
        <w:rPr/>
        <w:t xml:space="preserve">Заказчик вправе выбрать альтернативное предложение в качестве наилучшего в соответствии с критериями и порядком, установленными в документации. </w:t>
      </w:r>
    </w:p>
    <w:p>
      <w:pPr>
        <w:pStyle w:val="Normal"/>
        <w:widowControl/>
        <w:numPr>
          <w:ilvl w:val="2"/>
          <w:numId w:val="1"/>
        </w:numPr>
        <w:tabs>
          <w:tab w:val="clear" w:pos="720"/>
          <w:tab w:val="left" w:pos="960" w:leader="none"/>
        </w:tabs>
        <w:ind w:firstLine="709" w:start="0" w:end="0"/>
        <w:jc w:val="both"/>
        <w:rPr/>
      </w:pPr>
      <w:r>
        <w:rPr/>
        <w:t xml:space="preserve">Если участник, подавший альтернативное предложение, уклоняется от заключения договора, Заказчик отклоняет все предложения такого участника (основное и альтернативные). </w:t>
      </w:r>
    </w:p>
    <w:p>
      <w:pPr>
        <w:pStyle w:val="Normal"/>
        <w:widowControl/>
        <w:tabs>
          <w:tab w:val="clear" w:pos="720"/>
          <w:tab w:val="left" w:pos="1004" w:leader="none"/>
        </w:tabs>
        <w:ind w:hanging="0" w:start="709" w:end="0"/>
        <w:jc w:val="both"/>
        <w:rPr/>
      </w:pPr>
      <w:r>
        <w:rPr/>
      </w:r>
    </w:p>
    <w:p>
      <w:pPr>
        <w:pStyle w:val="NormalWeb1"/>
        <w:keepNext w:val="true"/>
        <w:widowControl/>
        <w:numPr>
          <w:ilvl w:val="0"/>
          <w:numId w:val="1"/>
        </w:numPr>
        <w:tabs>
          <w:tab w:val="clear" w:pos="720"/>
          <w:tab w:val="left" w:pos="1418" w:leader="none"/>
          <w:tab w:val="left" w:pos="2912" w:leader="none"/>
        </w:tabs>
        <w:spacing w:before="120" w:after="0"/>
        <w:ind w:hanging="360" w:start="360" w:end="0"/>
        <w:jc w:val="center"/>
        <w:outlineLvl w:val="1"/>
        <w:rPr>
          <w:b/>
          <w:sz w:val="28"/>
        </w:rPr>
      </w:pPr>
      <w:bookmarkStart w:id="69" w:name="__RefHeading___28"/>
      <w:bookmarkStart w:id="70" w:name="_Hlk528751296"/>
      <w:bookmarkStart w:id="71" w:name="_Hlk528068349"/>
      <w:bookmarkStart w:id="72" w:name="_Hlk533421633"/>
      <w:bookmarkEnd w:id="69"/>
      <w:bookmarkEnd w:id="70"/>
      <w:bookmarkEnd w:id="71"/>
      <w:bookmarkEnd w:id="72"/>
      <w:r>
        <w:rPr>
          <w:b/>
          <w:sz w:val="28"/>
        </w:rPr>
        <w:t>ПОРЯДОК РАССМОТРЕНИЯ, ОЦЕНКИ И СОПОСТАВЛЕНИЯ ЗАЯВОК, ПОДВЕДЕНИЕ ИТОГОВ ЗАКУПКИ</w:t>
      </w:r>
    </w:p>
    <w:p>
      <w:pPr>
        <w:pStyle w:val="NormalWeb1"/>
        <w:keepNext w:val="true"/>
        <w:widowControl/>
        <w:numPr>
          <w:ilvl w:val="1"/>
          <w:numId w:val="1"/>
        </w:numPr>
        <w:tabs>
          <w:tab w:val="clear" w:pos="720"/>
          <w:tab w:val="left" w:pos="1276" w:leader="none"/>
        </w:tabs>
        <w:spacing w:before="0" w:after="0"/>
        <w:ind w:firstLine="709" w:start="0" w:end="0"/>
        <w:jc w:val="both"/>
        <w:outlineLvl w:val="1"/>
        <w:rPr>
          <w:b/>
        </w:rPr>
      </w:pPr>
      <w:bookmarkStart w:id="73" w:name="__RefHeading___29"/>
      <w:bookmarkStart w:id="74" w:name="_Hlk533421633_Копия_1"/>
      <w:bookmarkEnd w:id="73"/>
      <w:bookmarkEnd w:id="74"/>
      <w:r>
        <w:rPr>
          <w:b/>
        </w:rPr>
        <w:t>Порядок рассмотрения заявок на участие в закупке</w:t>
      </w:r>
    </w:p>
    <w:p>
      <w:pPr>
        <w:pStyle w:val="Normal"/>
        <w:widowControl/>
        <w:numPr>
          <w:ilvl w:val="2"/>
          <w:numId w:val="1"/>
        </w:numPr>
        <w:tabs>
          <w:tab w:val="clear" w:pos="720"/>
          <w:tab w:val="left" w:pos="960" w:leader="none"/>
        </w:tabs>
        <w:ind w:firstLine="709" w:start="0" w:end="0"/>
        <w:jc w:val="both"/>
        <w:rPr/>
      </w:pPr>
      <w:bookmarkStart w:id="75" w:name="_Ref57203203"/>
      <w:r>
        <w:rPr/>
        <w:t xml:space="preserve">Закупочная комиссия в срок, указанный в п. </w:t>
      </w:r>
      <w:r>
        <w:rPr/>
        <w:fldChar w:fldCharType="begin"/>
      </w:r>
      <w:r>
        <w:rPr/>
        <w:instrText xml:space="preserve"> REF _Ref378107245 \r \r \h </w:instrText>
      </w:r>
      <w:r>
        <w:rPr/>
        <w:fldChar w:fldCharType="separate"/>
      </w:r>
      <w:r>
        <w:rPr/>
        <w:t>15</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осуществляет рассмотрение поданных участниками заявок на участие в закупке на соответствие требованиям настоящей документации, в том числе:</w:t>
      </w:r>
      <w:bookmarkEnd w:id="75"/>
    </w:p>
    <w:p>
      <w:pPr>
        <w:pStyle w:val="Normal"/>
        <w:widowControl/>
        <w:tabs>
          <w:tab w:val="clear" w:pos="720"/>
          <w:tab w:val="left" w:pos="960" w:leader="none"/>
        </w:tabs>
        <w:ind w:firstLine="709" w:start="0" w:end="0"/>
        <w:jc w:val="both"/>
        <w:rPr/>
      </w:pPr>
      <w:r>
        <w:rPr/>
        <w:t>1) соответствие заявки требованиям документации по существу по своему составу, содержанию и оформлению;</w:t>
      </w:r>
    </w:p>
    <w:p>
      <w:pPr>
        <w:pStyle w:val="Normal"/>
        <w:widowControl/>
        <w:tabs>
          <w:tab w:val="clear" w:pos="720"/>
          <w:tab w:val="left" w:pos="960" w:leader="none"/>
        </w:tabs>
        <w:ind w:firstLine="709" w:start="0" w:end="0"/>
        <w:jc w:val="both"/>
        <w:rPr/>
      </w:pPr>
      <w:r>
        <w:rP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pPr>
        <w:pStyle w:val="Normal"/>
        <w:widowControl/>
        <w:tabs>
          <w:tab w:val="clear" w:pos="720"/>
          <w:tab w:val="left" w:pos="960" w:leader="none"/>
        </w:tabs>
        <w:ind w:firstLine="709" w:start="0" w:end="0"/>
        <w:jc w:val="both"/>
        <w:rPr/>
      </w:pPr>
      <w:r>
        <w:rPr/>
        <w:t>3) соответствие предлагаемой участником закупки продукции установленным требованиям;</w:t>
      </w:r>
    </w:p>
    <w:p>
      <w:pPr>
        <w:pStyle w:val="Normal"/>
        <w:widowControl/>
        <w:tabs>
          <w:tab w:val="clear" w:pos="720"/>
          <w:tab w:val="left" w:pos="960" w:leader="none"/>
        </w:tabs>
        <w:ind w:firstLine="709" w:start="0" w:end="0"/>
        <w:jc w:val="both"/>
        <w:rPr/>
      </w:pPr>
      <w:r>
        <w:rPr/>
        <w:t>4) соответствие предлагаемых участником закупки договорных условий (в том числе, непревышение цены заявки объявленной НМЦ, НМЦед) установленным требованиям;</w:t>
      </w:r>
    </w:p>
    <w:p>
      <w:pPr>
        <w:pStyle w:val="Normal"/>
        <w:widowControl/>
        <w:tabs>
          <w:tab w:val="clear" w:pos="720"/>
          <w:tab w:val="left" w:pos="960" w:leader="none"/>
        </w:tabs>
        <w:ind w:firstLine="709" w:start="0" w:end="0"/>
        <w:jc w:val="both"/>
        <w:rPr/>
      </w:pPr>
      <w:r>
        <w:rPr/>
        <w:t>5) предоставление участником закупки требуемого обеспечения заявки (если требовалось).</w:t>
      </w:r>
    </w:p>
    <w:p>
      <w:pPr>
        <w:pStyle w:val="Normal"/>
        <w:widowControl/>
        <w:numPr>
          <w:ilvl w:val="2"/>
          <w:numId w:val="1"/>
        </w:numPr>
        <w:tabs>
          <w:tab w:val="clear" w:pos="720"/>
          <w:tab w:val="left" w:pos="960" w:leader="none"/>
        </w:tabs>
        <w:ind w:firstLine="709" w:start="0" w:end="0"/>
        <w:jc w:val="both"/>
        <w:rPr/>
      </w:pPr>
      <w:r>
        <w:rPr/>
        <w:t>В ходе рассмотрения заявок на участие в закупке Закупочная комиссия вправе проверять соответствие предоставленных участником закупки сведений действительности, в том числе путем направления запросов в государственные органы, лицам, указанным в заявке.</w:t>
      </w:r>
      <w:bookmarkStart w:id="76" w:name="_Ref401221504"/>
      <w:bookmarkEnd w:id="76"/>
    </w:p>
    <w:p>
      <w:pPr>
        <w:pStyle w:val="Normal"/>
        <w:widowControl/>
        <w:numPr>
          <w:ilvl w:val="2"/>
          <w:numId w:val="1"/>
        </w:numPr>
        <w:tabs>
          <w:tab w:val="clear" w:pos="720"/>
          <w:tab w:val="left" w:pos="960" w:leader="none"/>
        </w:tabs>
        <w:ind w:firstLine="709" w:start="0" w:end="0"/>
        <w:jc w:val="both"/>
        <w:rPr/>
      </w:pPr>
      <w:r>
        <w:rP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pPr>
        <w:pStyle w:val="Normal"/>
        <w:widowControl/>
        <w:numPr>
          <w:ilvl w:val="2"/>
          <w:numId w:val="1"/>
        </w:numPr>
        <w:tabs>
          <w:tab w:val="clear" w:pos="720"/>
          <w:tab w:val="left" w:pos="960" w:leader="none"/>
        </w:tabs>
        <w:ind w:firstLine="709" w:start="0" w:end="0"/>
        <w:jc w:val="both"/>
        <w:rPr/>
      </w:pPr>
      <w:bookmarkStart w:id="77" w:name="_Ref55320877"/>
      <w:r>
        <w:rPr/>
        <w:t>Основаниями для отказа в допуске являются:</w:t>
      </w:r>
      <w:bookmarkEnd w:id="77"/>
    </w:p>
    <w:p>
      <w:pPr>
        <w:pStyle w:val="Normal"/>
        <w:widowControl/>
        <w:numPr>
          <w:ilvl w:val="2"/>
          <w:numId w:val="4"/>
        </w:numPr>
        <w:tabs>
          <w:tab w:val="clear" w:pos="720"/>
          <w:tab w:val="left" w:pos="993" w:leader="none"/>
        </w:tabs>
        <w:ind w:firstLine="709" w:start="0" w:end="0"/>
        <w:jc w:val="both"/>
        <w:rPr/>
      </w:pPr>
      <w:r>
        <w:rPr/>
        <w:t>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документацией), содержанию и оформлению, в том числе представленного технического предложения;</w:t>
      </w:r>
    </w:p>
    <w:p>
      <w:pPr>
        <w:pStyle w:val="Normal"/>
        <w:widowControl/>
        <w:numPr>
          <w:ilvl w:val="2"/>
          <w:numId w:val="4"/>
        </w:numPr>
        <w:tabs>
          <w:tab w:val="clear" w:pos="720"/>
          <w:tab w:val="left" w:pos="993" w:leader="none"/>
        </w:tabs>
        <w:ind w:firstLine="709" w:start="0" w:end="0"/>
        <w:jc w:val="both"/>
        <w:rPr/>
      </w:pPr>
      <w:r>
        <w:rPr/>
        <w:t>несоответствие участника закупки требованиям документации;</w:t>
      </w:r>
    </w:p>
    <w:p>
      <w:pPr>
        <w:pStyle w:val="Normal"/>
        <w:widowControl/>
        <w:numPr>
          <w:ilvl w:val="2"/>
          <w:numId w:val="4"/>
        </w:numPr>
        <w:tabs>
          <w:tab w:val="clear" w:pos="720"/>
          <w:tab w:val="left" w:pos="993" w:leader="none"/>
        </w:tabs>
        <w:ind w:firstLine="709" w:start="0" w:end="0"/>
        <w:jc w:val="both"/>
        <w:rPr/>
      </w:pPr>
      <w:r>
        <w:rPr/>
        <w:t>несоответствие субподрядчиков (соисполнителей), изготовителей (если требования к ним были установлены) требованиям документации;</w:t>
      </w:r>
    </w:p>
    <w:p>
      <w:pPr>
        <w:pStyle w:val="Normal"/>
        <w:widowControl/>
        <w:numPr>
          <w:ilvl w:val="2"/>
          <w:numId w:val="4"/>
        </w:numPr>
        <w:tabs>
          <w:tab w:val="clear" w:pos="720"/>
          <w:tab w:val="left" w:pos="993" w:leader="none"/>
        </w:tabs>
        <w:ind w:firstLine="709" w:start="0" w:end="0"/>
        <w:jc w:val="both"/>
        <w:rPr/>
      </w:pPr>
      <w:r>
        <w:rPr/>
        <w:t>несоответствие продукции, указанной в заявке на участие в закупке, требованиям документации, в том числе:</w:t>
      </w:r>
    </w:p>
    <w:p>
      <w:pPr>
        <w:pStyle w:val="Normal"/>
        <w:widowControl/>
        <w:ind w:firstLine="709" w:start="0" w:end="0"/>
        <w:jc w:val="both"/>
        <w:rPr/>
      </w:pPr>
      <w:r>
        <w:rPr/>
        <w:t xml:space="preserve">- если при осуществлении закупки установлен предусмотренный пп. а) п. </w:t>
      </w:r>
      <w:r>
        <w:rPr/>
        <w:fldChar w:fldCharType="begin"/>
      </w:r>
      <w:r>
        <w:rPr/>
        <w:instrText xml:space="preserve"> REF _Ref184655223 \r \r \h </w:instrText>
      </w:r>
      <w:r>
        <w:rPr/>
        <w:fldChar w:fldCharType="separate"/>
      </w:r>
      <w:r>
        <w:rPr/>
        <w:t>3.3.3</w:t>
      </w:r>
      <w:r>
        <w:rPr/>
        <w:fldChar w:fldCharType="end"/>
      </w:r>
      <w:r>
        <w:rPr/>
        <w:t xml:space="preserve"> настоящего раздела документации запрет и заявка на участие в закупке содержит предложение о поставке товара происходящего из иностранного государства (при осуществлении закупки товара) или заявка на участие в закупке подана иностранным лицом (при осуществлении закупки работы, услуги); </w:t>
      </w:r>
    </w:p>
    <w:p>
      <w:pPr>
        <w:pStyle w:val="NormalWeb1"/>
        <w:widowControl/>
        <w:spacing w:lineRule="atLeast" w:line="288" w:before="0" w:after="0"/>
        <w:ind w:firstLine="709" w:start="0" w:end="0"/>
        <w:jc w:val="both"/>
        <w:rPr/>
      </w:pPr>
      <w:r>
        <w:rPr/>
        <w:t xml:space="preserve">- если при осуществлении закупки установлено предусмотренное пп. б) п. </w:t>
      </w:r>
      <w:r>
        <w:rPr/>
        <w:fldChar w:fldCharType="begin"/>
      </w:r>
      <w:r>
        <w:rPr/>
        <w:instrText xml:space="preserve"> REF _Ref184655223 \r \r \h </w:instrText>
      </w:r>
      <w:r>
        <w:rPr/>
        <w:fldChar w:fldCharType="separate"/>
      </w:r>
      <w:r>
        <w:rPr/>
        <w:t>3.3.3</w:t>
      </w:r>
      <w:r>
        <w:rPr/>
        <w:fldChar w:fldCharType="end"/>
      </w:r>
      <w:r>
        <w:rPr/>
        <w:t xml:space="preserve"> настоящего раздела документации ограничение и заявка на участие в закупке содержит предложение о поставке товара, происходящего из иностранного государства при наличии хотя бы одной заявки на участие в закупке, которая по результатам ее рассмотрения признана соответствующей требованиям документации и содержит предложение о поставке товара российского происхождения (при осуществлении закупки товара) или заявка на участие в закупке подана иностранным лицом при наличии заявки на участие в закупке, поданной российским лицом, которая по результатам ее рассмотрения признана соответствующей требованиям документации;</w:t>
      </w:r>
    </w:p>
    <w:p>
      <w:pPr>
        <w:pStyle w:val="Normal"/>
        <w:widowControl/>
        <w:numPr>
          <w:ilvl w:val="2"/>
          <w:numId w:val="4"/>
        </w:numPr>
        <w:tabs>
          <w:tab w:val="clear" w:pos="720"/>
          <w:tab w:val="left" w:pos="993" w:leader="none"/>
        </w:tabs>
        <w:ind w:firstLine="709" w:start="0" w:end="0"/>
        <w:jc w:val="both"/>
        <w:rPr/>
      </w:pPr>
      <w:r>
        <w:rPr/>
        <w:t>несоответствие договорных условий, указанных в заявке на участие в закупке, требованиям документации, в том числе:</w:t>
      </w:r>
    </w:p>
    <w:p>
      <w:pPr>
        <w:pStyle w:val="Normal"/>
        <w:widowControl/>
        <w:numPr>
          <w:ilvl w:val="2"/>
          <w:numId w:val="5"/>
        </w:numPr>
        <w:tabs>
          <w:tab w:val="clear" w:pos="720"/>
          <w:tab w:val="left" w:pos="1134" w:leader="none"/>
        </w:tabs>
        <w:ind w:firstLine="709" w:start="0" w:end="0"/>
        <w:jc w:val="both"/>
        <w:rPr/>
      </w:pPr>
      <w:r>
        <w:rPr/>
        <w:t xml:space="preserve">наличие в такой заявке предложения о цене договора, превышающей НМЦ договора, единицы продукции, превышающей НМЦед.; </w:t>
      </w:r>
    </w:p>
    <w:p>
      <w:pPr>
        <w:pStyle w:val="Normal"/>
        <w:widowControl/>
        <w:numPr>
          <w:ilvl w:val="2"/>
          <w:numId w:val="5"/>
        </w:numPr>
        <w:tabs>
          <w:tab w:val="clear" w:pos="720"/>
          <w:tab w:val="left" w:pos="1134" w:leader="none"/>
        </w:tabs>
        <w:ind w:firstLine="709" w:start="0" w:end="0"/>
        <w:jc w:val="both"/>
        <w:rPr/>
      </w:pPr>
      <w:r>
        <w:rPr/>
        <w:t>наличие предложения, ухудшающего условия по срокам поставки товара, выполнения работ или оказания услуг;</w:t>
      </w:r>
    </w:p>
    <w:p>
      <w:pPr>
        <w:pStyle w:val="Normal"/>
        <w:widowControl/>
        <w:numPr>
          <w:ilvl w:val="2"/>
          <w:numId w:val="4"/>
        </w:numPr>
        <w:tabs>
          <w:tab w:val="clear" w:pos="720"/>
          <w:tab w:val="left" w:pos="993" w:leader="none"/>
        </w:tabs>
        <w:ind w:firstLine="709" w:start="0" w:end="0"/>
        <w:jc w:val="both"/>
        <w:rPr/>
      </w:pPr>
      <w:r>
        <w:rPr/>
        <w:t>несоответствие размера, формы, условий или порядка предоставления обеспечения заявки (если требовалось).</w:t>
      </w:r>
    </w:p>
    <w:p>
      <w:pPr>
        <w:pStyle w:val="Normal"/>
        <w:widowControl/>
        <w:numPr>
          <w:ilvl w:val="2"/>
          <w:numId w:val="1"/>
        </w:numPr>
        <w:tabs>
          <w:tab w:val="clear" w:pos="720"/>
          <w:tab w:val="left" w:pos="960" w:leader="none"/>
        </w:tabs>
        <w:ind w:firstLine="709" w:start="0" w:end="0"/>
        <w:jc w:val="both"/>
        <w:rPr/>
      </w:pPr>
      <w:r>
        <w:rPr/>
        <w:t xml:space="preserve">При выявлении недостоверных сведений в представленной участником закупки заявке на участие в закупке, Заказчик вправе отклонить заявку такого участника закупки на любой стадии (на любом этапе) проведения закупки до заключения договора. </w:t>
      </w:r>
    </w:p>
    <w:p>
      <w:pPr>
        <w:pStyle w:val="ListParagraph1"/>
        <w:widowControl/>
        <w:numPr>
          <w:ilvl w:val="2"/>
          <w:numId w:val="1"/>
        </w:numPr>
        <w:ind w:firstLine="709" w:start="0" w:end="0"/>
        <w:jc w:val="both"/>
        <w:rPr/>
      </w:pPr>
      <w:r>
        <w:rPr/>
        <w:t>Решения Закупочной комиссии о допуске к дальнейшему участию в закупке, либо об отказе в допуске отражается в протоколе заседания Закупочной комиссии по рассмотрению заявок. 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78" w:name="__RefHeading___30"/>
      <w:bookmarkEnd w:id="78"/>
      <w:r>
        <w:rPr>
          <w:b/>
        </w:rPr>
        <w:t>Порядок оценки и сопоставления заявок на участие в закупке, порядок определения победителя закупки, подведения итогов закупки</w:t>
      </w:r>
    </w:p>
    <w:p>
      <w:pPr>
        <w:pStyle w:val="Normal"/>
        <w:widowControl/>
        <w:numPr>
          <w:ilvl w:val="2"/>
          <w:numId w:val="1"/>
        </w:numPr>
        <w:ind w:firstLine="709" w:start="0" w:end="0"/>
        <w:jc w:val="both"/>
        <w:rPr/>
      </w:pPr>
      <w:r>
        <w:rPr/>
        <w:t>Участники, признанные соответствующими требованиям документации, подавшие заявки, соответствующие требованиям документации,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pPr>
        <w:pStyle w:val="Normal"/>
        <w:widowControl/>
        <w:numPr>
          <w:ilvl w:val="2"/>
          <w:numId w:val="1"/>
        </w:numPr>
        <w:ind w:firstLine="709" w:start="0" w:end="0"/>
        <w:jc w:val="both"/>
        <w:rPr/>
      </w:pPr>
      <w:r>
        <w:rPr/>
        <w:t xml:space="preserve">Оценка и сопоставление заявок осуществляется по ценовому критерию. Заявке, которая содержит наиболее низкую цену договора (единицы продукции) с учетом снижения либо увеличения на 15 (пятнадцать) процентов ценового предложения, осуществленных в соответствии с пп. 3 п. </w:t>
      </w:r>
      <w:r>
        <w:rPr/>
        <w:fldChar w:fldCharType="begin"/>
      </w:r>
      <w:r>
        <w:rPr/>
        <w:instrText xml:space="preserve"> REF _Ref186113696 \r \r \h </w:instrText>
      </w:r>
      <w:r>
        <w:rPr/>
        <w:fldChar w:fldCharType="separate"/>
      </w:r>
      <w:r>
        <w:rPr/>
        <w:t>3.3.5</w:t>
      </w:r>
      <w:r>
        <w:rPr/>
        <w:fldChar w:fldCharType="end"/>
      </w:r>
      <w:r>
        <w:rPr/>
        <w:t xml:space="preserve"> и и пп. 3 п. </w:t>
      </w:r>
      <w:r>
        <w:rPr/>
        <w:fldChar w:fldCharType="begin"/>
      </w:r>
      <w:r>
        <w:rPr/>
        <w:instrText xml:space="preserve"> REF _Ref186113706 \r \r \h </w:instrText>
      </w:r>
      <w:r>
        <w:rPr/>
        <w:fldChar w:fldCharType="separate"/>
      </w:r>
      <w:r>
        <w:rPr/>
        <w:t>3.3.6</w:t>
      </w:r>
      <w:r>
        <w:rPr/>
        <w:fldChar w:fldCharType="end"/>
      </w:r>
      <w:r>
        <w:rPr/>
        <w:t xml:space="preserve"> настоящего раздела документации, присваивается первый номер. Присвоение последующих номеров осуществляется Закупочной комиссией по мере увеличения цены договора (единицы продукции), предложенной в заявках на участие в закупке, относительно самой низкой цены договора (единицы продукции). В случае, если в нескольких заявках на участие в процедуре закупки содержатся одинаковые цены договора (единицы продукции), меньший номер присваивается заявке, которая поступила ранее других заявок на участие в закупке, содержащих такие же условия. В случае, если в поданную участником заявку были внесены изменения, то датой подачи заявки считается день внесения в нее последних изменений.</w:t>
      </w:r>
    </w:p>
    <w:p>
      <w:pPr>
        <w:pStyle w:val="Normal"/>
        <w:widowControl/>
        <w:numPr>
          <w:ilvl w:val="2"/>
          <w:numId w:val="1"/>
        </w:numPr>
        <w:ind w:firstLine="709" w:start="0" w:end="0"/>
        <w:jc w:val="both"/>
        <w:rPr/>
      </w:pPr>
      <w:bookmarkStart w:id="79" w:name="_Ref58325173"/>
      <w:r>
        <w:rPr/>
        <w:t xml:space="preserve">Победителем признается участник, который предложил минимальную цену договора (единицы продукции) с учетом снижения либо увеличения на 15 (пятнадцать) процентов ценового предложения, осуществленных в соответствии с пп. 3 п. </w:t>
      </w:r>
      <w:r>
        <w:rPr/>
        <w:fldChar w:fldCharType="begin"/>
      </w:r>
      <w:r>
        <w:rPr/>
        <w:instrText xml:space="preserve"> REF _Ref186113696 \r \r \h </w:instrText>
      </w:r>
      <w:r>
        <w:rPr/>
        <w:fldChar w:fldCharType="separate"/>
      </w:r>
      <w:r>
        <w:rPr/>
        <w:t>3.3.5</w:t>
      </w:r>
      <w:r>
        <w:rPr/>
        <w:fldChar w:fldCharType="end"/>
      </w:r>
      <w:r>
        <w:rPr/>
        <w:t xml:space="preserve"> или пп. 3 п. </w:t>
      </w:r>
      <w:r>
        <w:rPr/>
        <w:fldChar w:fldCharType="begin"/>
      </w:r>
      <w:r>
        <w:rPr/>
        <w:instrText xml:space="preserve"> REF _Ref186113706 \r \r \h </w:instrText>
      </w:r>
      <w:r>
        <w:rPr/>
        <w:fldChar w:fldCharType="separate"/>
      </w:r>
      <w:r>
        <w:rPr/>
        <w:t>3.3.6</w:t>
      </w:r>
      <w:r>
        <w:rPr/>
        <w:fldChar w:fldCharType="end"/>
      </w:r>
      <w:r>
        <w:rPr/>
        <w:t xml:space="preserve"> настоящего раздела документации и которому присвоено первое место. В случае если </w:t>
      </w:r>
      <w:hyperlink w:anchor="_Форма_3_ТЕХНИКО-КОММЕРЧЕСКОЕ_1">
        <w:r>
          <w:rPr>
            <w:rStyle w:val="Style4"/>
          </w:rPr>
          <w:t>Формой 3 «ТЕХНИКО-КОММЕРЧЕСКОЕ ПРЕДЛОЖЕНИЕ»</w:t>
        </w:r>
      </w:hyperlink>
      <w:r>
        <w:rPr/>
        <w:t xml:space="preserve"> предусмотрена подача ценового предложения в виде коэффициента снижения от НМЦ договора/НМЦ ед., то порядок определения цены договора и цены единицы товара (работы, услуги) с учетом коэффициента снижения представлен в п. </w:t>
      </w:r>
      <w:r>
        <w:rPr/>
        <w:fldChar w:fldCharType="begin"/>
      </w:r>
      <w:r>
        <w:rPr/>
        <w:instrText xml:space="preserve"> REF _Ref55322174 \r \r \h </w:instrText>
      </w:r>
      <w:r>
        <w:rPr/>
        <w:fldChar w:fldCharType="separate"/>
      </w:r>
      <w:r>
        <w:rPr/>
        <w:t>21</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bookmarkEnd w:id="79"/>
    </w:p>
    <w:p>
      <w:pPr>
        <w:pStyle w:val="ListParagraph1"/>
        <w:widowControl/>
        <w:numPr>
          <w:ilvl w:val="2"/>
          <w:numId w:val="1"/>
        </w:numPr>
        <w:ind w:firstLine="709" w:start="0" w:end="0"/>
        <w:jc w:val="both"/>
        <w:rPr/>
      </w:pPr>
      <w:r>
        <w:rPr/>
        <w:t>Заказчик вправе привлекать к рассмотрению, оценке и сопоставлению заявок на участие в закупке экспертов – профильные подразделения Заказчика, сторонних лиц, обладающих специальными знаниями по предмету закупки.</w:t>
      </w:r>
    </w:p>
    <w:p>
      <w:pPr>
        <w:pStyle w:val="Normal"/>
        <w:widowControl/>
        <w:numPr>
          <w:ilvl w:val="2"/>
          <w:numId w:val="1"/>
        </w:numPr>
        <w:ind w:firstLine="709" w:start="0" w:end="0"/>
        <w:jc w:val="both"/>
        <w:rPr/>
      </w:pPr>
      <w:r>
        <w:rPr/>
        <w:t>На основании результатов рассмотрения и оценки предложений участников Закупочная комиссией могут быть приняты следующие решения:</w:t>
      </w:r>
    </w:p>
    <w:p>
      <w:pPr>
        <w:pStyle w:val="Normal"/>
        <w:widowControl/>
        <w:ind w:firstLine="709" w:start="0" w:end="0"/>
        <w:jc w:val="both"/>
        <w:rPr/>
      </w:pPr>
      <w:r>
        <w:rPr/>
        <w:t>1) об определении победителя (победителей);</w:t>
      </w:r>
    </w:p>
    <w:p>
      <w:pPr>
        <w:pStyle w:val="Normal"/>
        <w:widowControl/>
        <w:ind w:firstLine="709" w:start="0" w:end="0"/>
        <w:jc w:val="both"/>
        <w:rPr/>
      </w:pPr>
      <w:r>
        <w:rPr/>
        <w:t xml:space="preserve">2) об отклонении всех заявок на участие в запросе цен, признании запроса цен несостоявшимися по основаниям, предусмотренным п. </w:t>
      </w:r>
      <w:r>
        <w:rPr/>
        <w:fldChar w:fldCharType="begin"/>
      </w:r>
      <w:r>
        <w:rPr/>
        <w:instrText xml:space="preserve"> REF _Ref55320877 \r \r \h </w:instrText>
      </w:r>
      <w:r>
        <w:rPr/>
        <w:fldChar w:fldCharType="separate"/>
      </w:r>
      <w:r>
        <w:rPr/>
        <w:t>7.1.4</w:t>
      </w:r>
      <w:r>
        <w:rPr/>
        <w:fldChar w:fldCharType="end"/>
      </w:r>
      <w:r>
        <w:rPr/>
        <w:t xml:space="preserve"> </w:t>
      </w:r>
      <w:r>
        <w:rPr>
          <w:sz w:val="22"/>
        </w:rPr>
        <w:t xml:space="preserve">раздела </w:t>
      </w:r>
      <w:hyperlink w:anchor="_РАЗДЕЛ_I._ОБЩАЯ">
        <w:r>
          <w:rPr>
            <w:rStyle w:val="Style4"/>
            <w:sz w:val="22"/>
          </w:rPr>
          <w:t>I «ОБЩАЯ ЧАСТЬ»</w:t>
        </w:r>
      </w:hyperlink>
      <w:r>
        <w:rPr/>
        <w:t xml:space="preserve"> документации;</w:t>
      </w:r>
    </w:p>
    <w:p>
      <w:pPr>
        <w:pStyle w:val="Normal"/>
        <w:widowControl/>
        <w:ind w:firstLine="709" w:start="0" w:end="0"/>
        <w:jc w:val="both"/>
        <w:rPr/>
      </w:pPr>
      <w:r>
        <w:rPr/>
        <w:t>3) об отказе от проведения закупки;</w:t>
      </w:r>
    </w:p>
    <w:p>
      <w:pPr>
        <w:pStyle w:val="Normal"/>
        <w:widowControl/>
        <w:ind w:firstLine="709" w:start="0" w:end="0"/>
        <w:jc w:val="both"/>
        <w:rPr/>
      </w:pPr>
      <w:bookmarkStart w:id="80" w:name="_Ref57203226"/>
      <w:r>
        <w:rPr/>
        <w:t>4) о сборе дополнительных предложений и проведении дополнительной оценки заявок на участие в запросе цен.</w:t>
      </w:r>
      <w:bookmarkEnd w:id="80"/>
    </w:p>
    <w:p>
      <w:pPr>
        <w:pStyle w:val="Normal"/>
        <w:widowControl/>
        <w:numPr>
          <w:ilvl w:val="2"/>
          <w:numId w:val="1"/>
        </w:numPr>
        <w:ind w:firstLine="709" w:start="0" w:end="0"/>
        <w:jc w:val="both"/>
        <w:rPr/>
      </w:pPr>
      <w:r>
        <w:rPr/>
        <w:t xml:space="preserve">Результаты оценки и сопоставления заявок, подведения итогов закупки оформляются соответствующим протоколом. </w:t>
      </w:r>
    </w:p>
    <w:p>
      <w:pPr>
        <w:pStyle w:val="Normal"/>
        <w:widowControl/>
        <w:numPr>
          <w:ilvl w:val="2"/>
          <w:numId w:val="1"/>
        </w:numPr>
        <w:ind w:firstLine="709" w:start="0" w:end="0"/>
        <w:jc w:val="both"/>
        <w:rPr/>
      </w:pPr>
      <w:r>
        <w:rPr/>
        <w:t>Заказчик вправе объединить рассмотрение, оценку, сопоставление заявок и подведение итогов закупки. При этом оформляется единый протокол.</w:t>
      </w:r>
    </w:p>
    <w:p>
      <w:pPr>
        <w:pStyle w:val="Normal"/>
        <w:widowControl/>
        <w:numPr>
          <w:ilvl w:val="2"/>
          <w:numId w:val="1"/>
        </w:numPr>
        <w:ind w:firstLine="709" w:start="0" w:end="0"/>
        <w:jc w:val="both"/>
        <w:rPr/>
      </w:pPr>
      <w:r>
        <w:rPr/>
        <w:t>Заказчик обеспечивает размещение протоколов на ЭТП не позднее, чем через 3 (три) дня после подписания таких протоколов.</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81" w:name="__RefHeading___31"/>
      <w:bookmarkStart w:id="82" w:name="_Toc8832210_Копия_1"/>
      <w:bookmarkStart w:id="83" w:name="_Toc8834871_Копия_1"/>
      <w:bookmarkEnd w:id="81"/>
      <w:bookmarkEnd w:id="82"/>
      <w:bookmarkEnd w:id="83"/>
      <w:r>
        <w:rPr>
          <w:b/>
        </w:rPr>
        <w:t>Преддоговорные переговоры</w:t>
      </w:r>
    </w:p>
    <w:p>
      <w:pPr>
        <w:pStyle w:val="Normal"/>
        <w:widowControl/>
        <w:numPr>
          <w:ilvl w:val="2"/>
          <w:numId w:val="1"/>
        </w:numPr>
        <w:ind w:firstLine="709" w:start="0" w:end="0"/>
        <w:jc w:val="both"/>
        <w:rPr/>
      </w:pPr>
      <w:r>
        <w:rPr/>
        <w:t xml:space="preserve">По поручению Закупочной комиссии могут проводиться преддоговорные переговоры между Заказчиком и лицом, с которым заключается договор, в отношении положений договора и условий заявки лица, с которым заключается договор.  </w:t>
      </w:r>
    </w:p>
    <w:p>
      <w:pPr>
        <w:pStyle w:val="Normal"/>
        <w:widowControl/>
        <w:numPr>
          <w:ilvl w:val="2"/>
          <w:numId w:val="1"/>
        </w:numPr>
        <w:ind w:firstLine="709" w:start="0" w:end="0"/>
        <w:jc w:val="both"/>
        <w:rPr/>
      </w:pPr>
      <w:bookmarkStart w:id="84" w:name="_Ref55321214"/>
      <w:r>
        <w:rPr/>
        <w:t>Преддоговорные переговоры могут проводиться:</w:t>
      </w:r>
      <w:bookmarkEnd w:id="84"/>
    </w:p>
    <w:p>
      <w:pPr>
        <w:pStyle w:val="Times121"/>
        <w:widowControl/>
        <w:numPr>
          <w:ilvl w:val="0"/>
          <w:numId w:val="6"/>
        </w:numPr>
        <w:ind w:firstLine="709" w:start="0" w:end="0"/>
        <w:rPr/>
      </w:pPr>
      <w:r>
        <w:rPr/>
        <w:t>по снижению цены договора (и/или единиц продукции) без изменения остальных условий договора;</w:t>
      </w:r>
    </w:p>
    <w:p>
      <w:pPr>
        <w:pStyle w:val="Times121"/>
        <w:widowControl/>
        <w:numPr>
          <w:ilvl w:val="0"/>
          <w:numId w:val="6"/>
        </w:numPr>
        <w:ind w:firstLine="709" w:start="0" w:end="0"/>
        <w:rPr/>
      </w:pPr>
      <w:r>
        <w:rPr/>
        <w:t>по изменению объемов каждой позиции продукции не более чем на 10 (десять) процентов и без увеличения единичных цен продукции с соответствующим изменением стоимости договора (если возможность таких изменений была предусмотрена документацией о закупке);</w:t>
      </w:r>
    </w:p>
    <w:p>
      <w:pPr>
        <w:pStyle w:val="Times121"/>
        <w:widowControl/>
        <w:numPr>
          <w:ilvl w:val="0"/>
          <w:numId w:val="6"/>
        </w:numPr>
        <w:ind w:firstLine="709" w:start="0" w:end="0"/>
        <w:rPr/>
      </w:pPr>
      <w:r>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pPr>
        <w:pStyle w:val="Times121"/>
        <w:widowControl/>
        <w:numPr>
          <w:ilvl w:val="0"/>
          <w:numId w:val="6"/>
        </w:numPr>
        <w:ind w:firstLine="709" w:start="0" w:end="0"/>
        <w:rPr/>
      </w:pPr>
      <w:r>
        <w:rPr/>
        <w:t>по уточнению условий договора в лучшую для Заказчика сторону, которые не были зафиксированы в проекте договора, документации о закупке и предложении лица, с которым заключается договор;</w:t>
      </w:r>
    </w:p>
    <w:p>
      <w:pPr>
        <w:pStyle w:val="Times121"/>
        <w:widowControl/>
        <w:numPr>
          <w:ilvl w:val="0"/>
          <w:numId w:val="6"/>
        </w:numPr>
        <w:ind w:firstLine="709" w:start="0" w:end="0"/>
        <w:rPr/>
      </w:pPr>
      <w:r>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антимонопольном органе;</w:t>
      </w:r>
    </w:p>
    <w:p>
      <w:pPr>
        <w:pStyle w:val="Times121"/>
        <w:widowControl/>
        <w:numPr>
          <w:ilvl w:val="0"/>
          <w:numId w:val="6"/>
        </w:numPr>
        <w:ind w:firstLine="709" w:start="0" w:end="0"/>
        <w:rPr/>
      </w:pPr>
      <w:r>
        <w:rPr/>
        <w:t>обусловленные изменениями законодательства или предписаниями органов государственной власти.</w:t>
      </w:r>
    </w:p>
    <w:p>
      <w:pPr>
        <w:pStyle w:val="Normal"/>
        <w:widowControl/>
        <w:numPr>
          <w:ilvl w:val="2"/>
          <w:numId w:val="1"/>
        </w:numPr>
        <w:ind w:firstLine="709" w:start="0" w:end="0"/>
        <w:jc w:val="both"/>
        <w:rPr/>
      </w:pPr>
      <w:r>
        <w:rPr/>
        <w:t xml:space="preserve"> </w:t>
      </w:r>
      <w:r>
        <w:rPr/>
        <w:t xml:space="preserve">Запрещаются иные преддоговорные переговоры, направленные на изменение условий заключаемого договора по сравнению с указанными в п. </w:t>
      </w:r>
      <w:r>
        <w:rPr/>
        <w:fldChar w:fldCharType="begin"/>
      </w:r>
      <w:r>
        <w:rPr/>
        <w:instrText xml:space="preserve"> REF _Ref55321214 \r \r \h </w:instrText>
      </w:r>
      <w:r>
        <w:rPr/>
        <w:fldChar w:fldCharType="separate"/>
      </w:r>
      <w:r>
        <w:rPr/>
        <w:t>7.3.2</w:t>
      </w:r>
      <w:r>
        <w:rPr/>
        <w:fldChar w:fldCharType="end"/>
      </w:r>
      <w:r>
        <w:rPr/>
        <w:t xml:space="preserve"> настоящего раздела, в пользу лица, с которым заключается договор.</w:t>
      </w:r>
    </w:p>
    <w:p>
      <w:pPr>
        <w:pStyle w:val="Normal"/>
        <w:widowControl/>
        <w:numPr>
          <w:ilvl w:val="2"/>
          <w:numId w:val="1"/>
        </w:numPr>
        <w:ind w:firstLine="709" w:start="0" w:end="0"/>
        <w:jc w:val="both"/>
        <w:rPr/>
      </w:pPr>
      <w:r>
        <w:rPr/>
        <w:t>По результатам преддоговорных переговоров оформляется протокол преддоговорных переговоров, который подписывается Заказчиком и лицом, с которым заключается договор. Протоколы преддоговорных переговоров не подлежат обязательному размещению на ЭТП.</w:t>
      </w:r>
    </w:p>
    <w:p>
      <w:pPr>
        <w:pStyle w:val="NormalWeb1"/>
        <w:keepNext w:val="true"/>
        <w:widowControl/>
        <w:numPr>
          <w:ilvl w:val="0"/>
          <w:numId w:val="1"/>
        </w:numPr>
        <w:tabs>
          <w:tab w:val="clear" w:pos="720"/>
          <w:tab w:val="left" w:pos="1418" w:leader="none"/>
          <w:tab w:val="left" w:pos="2912" w:leader="none"/>
        </w:tabs>
        <w:spacing w:before="120" w:after="0"/>
        <w:ind w:hanging="360" w:start="360" w:end="0"/>
        <w:jc w:val="center"/>
        <w:outlineLvl w:val="1"/>
        <w:rPr>
          <w:b/>
          <w:sz w:val="28"/>
        </w:rPr>
      </w:pPr>
      <w:bookmarkStart w:id="85" w:name="__RefHeading___32"/>
      <w:bookmarkStart w:id="86" w:name="_Toc523244469_Копия_1"/>
      <w:bookmarkEnd w:id="85"/>
      <w:bookmarkEnd w:id="86"/>
      <w:r>
        <w:rPr>
          <w:b/>
          <w:sz w:val="28"/>
        </w:rPr>
        <w:t>ЗАКЛЮЧЕНИЕ ДОГОВОРА</w:t>
      </w:r>
    </w:p>
    <w:p>
      <w:pPr>
        <w:pStyle w:val="NormalWeb1"/>
        <w:keepNext w:val="true"/>
        <w:widowControl/>
        <w:numPr>
          <w:ilvl w:val="1"/>
          <w:numId w:val="1"/>
        </w:numPr>
        <w:tabs>
          <w:tab w:val="clear" w:pos="720"/>
          <w:tab w:val="left" w:pos="1276" w:leader="none"/>
        </w:tabs>
        <w:spacing w:before="0" w:after="0"/>
        <w:ind w:firstLine="709" w:start="0" w:end="0"/>
        <w:jc w:val="both"/>
        <w:outlineLvl w:val="1"/>
        <w:rPr>
          <w:b/>
        </w:rPr>
      </w:pPr>
      <w:bookmarkStart w:id="87" w:name="__RefHeading___33"/>
      <w:bookmarkEnd w:id="87"/>
      <w:r>
        <w:rPr>
          <w:b/>
        </w:rPr>
        <w:t>Порядок заключения договора</w:t>
      </w:r>
    </w:p>
    <w:p>
      <w:pPr>
        <w:pStyle w:val="Normal"/>
        <w:widowControl/>
        <w:numPr>
          <w:ilvl w:val="2"/>
          <w:numId w:val="1"/>
        </w:numPr>
        <w:tabs>
          <w:tab w:val="clear" w:pos="720"/>
          <w:tab w:val="left" w:pos="1134" w:leader="none"/>
        </w:tabs>
        <w:ind w:firstLine="709" w:start="0" w:end="0"/>
        <w:jc w:val="both"/>
        <w:rPr/>
      </w:pPr>
      <w:r>
        <w:rPr/>
        <w:t>Условия заключаемого договора определяются путем включения в проект договора, приведенный в разделе V «ПРОЕКТ ДОГОВОРА»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переговоров (если проводились).</w:t>
      </w:r>
    </w:p>
    <w:p>
      <w:pPr>
        <w:pStyle w:val="Normal"/>
        <w:widowControl/>
        <w:numPr>
          <w:ilvl w:val="2"/>
          <w:numId w:val="1"/>
        </w:numPr>
        <w:tabs>
          <w:tab w:val="clear" w:pos="720"/>
          <w:tab w:val="left" w:pos="1134" w:leader="none"/>
        </w:tabs>
        <w:ind w:firstLine="709" w:start="0" w:end="0"/>
        <w:jc w:val="both"/>
        <w:rPr/>
      </w:pPr>
      <w:bookmarkStart w:id="88" w:name="_Ref55321296"/>
      <w:r>
        <w:rPr/>
        <w:t>Договор может быть заключен не ранее следующего дня со дня размещения на ЭТП итогового протокола.</w:t>
      </w:r>
      <w:bookmarkEnd w:id="88"/>
    </w:p>
    <w:p>
      <w:pPr>
        <w:pStyle w:val="Normal"/>
        <w:widowControl/>
        <w:numPr>
          <w:ilvl w:val="2"/>
          <w:numId w:val="1"/>
        </w:numPr>
        <w:tabs>
          <w:tab w:val="clear" w:pos="720"/>
          <w:tab w:val="left" w:pos="1134" w:leader="none"/>
        </w:tabs>
        <w:ind w:firstLine="709" w:start="0" w:end="0"/>
        <w:jc w:val="both"/>
        <w:rPr/>
      </w:pPr>
      <w:bookmarkStart w:id="89" w:name="_Ref55322314"/>
      <w:r>
        <w:rPr/>
        <w:t>По результатам проведенной процедуры закупки Заказчик направляет проект договора на подписание лицу, с которым заключается договор.</w:t>
      </w:r>
      <w:bookmarkEnd w:id="89"/>
      <w:r>
        <w:rPr/>
        <w:t xml:space="preserve"> </w:t>
      </w:r>
    </w:p>
    <w:p>
      <w:pPr>
        <w:pStyle w:val="Normal"/>
        <w:widowControl/>
        <w:numPr>
          <w:ilvl w:val="2"/>
          <w:numId w:val="1"/>
        </w:numPr>
        <w:ind w:firstLine="709" w:start="0" w:end="0"/>
        <w:jc w:val="both"/>
        <w:rPr/>
      </w:pPr>
      <w:r>
        <w:rPr/>
        <w:t>Лицо, с которым заключается договор, в течение 3 (трех) рабочих дней после получения от Заказчика проекта договора направляет Заказчику подписанный со своей стороны и заверенный печатью (при наличии печати в случае заключения договора в бумажной форме) договор.</w:t>
      </w:r>
    </w:p>
    <w:p>
      <w:pPr>
        <w:pStyle w:val="Normal"/>
        <w:widowControl/>
        <w:numPr>
          <w:ilvl w:val="2"/>
          <w:numId w:val="1"/>
        </w:numPr>
        <w:ind w:firstLine="709" w:start="0" w:end="0"/>
        <w:jc w:val="both"/>
        <w:rPr/>
      </w:pPr>
      <w:bookmarkStart w:id="90" w:name="_Ref55290554"/>
      <w:r>
        <w:rPr/>
        <w:t>Лицо, с которым заключается договор, обязано предоставить вместе с подписанным со своей стороны договором следующие документы:</w:t>
      </w:r>
      <w:bookmarkEnd w:id="90"/>
    </w:p>
    <w:p>
      <w:pPr>
        <w:pStyle w:val="ListParagraph1"/>
        <w:widowControl/>
        <w:numPr>
          <w:ilvl w:val="0"/>
          <w:numId w:val="7"/>
        </w:numPr>
        <w:ind w:firstLine="709" w:start="0" w:end="0"/>
        <w:jc w:val="both"/>
        <w:rPr/>
      </w:pPr>
      <w:r>
        <w:rPr/>
        <w:t xml:space="preserve">Решения об одобрении сделок, планируемых к заключению по результатам закупки,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Если такое одобрение не требуется, то в заявке на участие в закупке, формируемой с использованием функционала ЭТП, должно быть указано, что такое одобрение не требуется. </w:t>
      </w:r>
      <w:bookmarkStart w:id="91" w:name="_Ref55291404"/>
    </w:p>
    <w:p>
      <w:pPr>
        <w:pStyle w:val="ListParagraph1"/>
        <w:widowControl/>
        <w:numPr>
          <w:ilvl w:val="0"/>
          <w:numId w:val="7"/>
        </w:numPr>
        <w:ind w:firstLine="709" w:start="0" w:end="0"/>
        <w:jc w:val="both"/>
        <w:rPr>
          <w:color w:themeColor="text1" w:val="000000"/>
        </w:rPr>
      </w:pPr>
      <w:r>
        <w:rPr/>
        <w:t xml:space="preserve">Обеспечение исполнения договора в размере и по форме, предусмотренными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в случае если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установлено требование о предоставлении обеспечения исполнения договора до подписания договора. В случае если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предусмотрено требование о предоставлении обеспечения </w:t>
      </w:r>
      <w:bookmarkEnd w:id="91"/>
      <w:r>
        <w:rPr>
          <w:color w:themeColor="text1" w:val="000000"/>
        </w:rPr>
        <w:t>исполнения договора до подписания первого заказа или о предоставлении обеспечения каждого заказа на поставку товаров, выполнение работ, оказание услуг, такое обеспечение предоставляется после подписания договора перед подписанием соответствующего заказа в порядке и в сроки, предусмотренные договором, заключаемым по результатам закупки;</w:t>
      </w:r>
    </w:p>
    <w:p>
      <w:pPr>
        <w:pStyle w:val="ListParagraph1"/>
        <w:widowControl/>
        <w:numPr>
          <w:ilvl w:val="0"/>
          <w:numId w:val="7"/>
        </w:numPr>
        <w:ind w:firstLine="709" w:start="0" w:end="0"/>
        <w:jc w:val="both"/>
        <w:rPr/>
      </w:pPr>
      <w:r>
        <w:rPr/>
        <w:t xml:space="preserve">Иные сведения и документы, если такое требование прямо предусмотрено настоящей документацией о закупке. </w:t>
      </w:r>
    </w:p>
    <w:p>
      <w:pPr>
        <w:pStyle w:val="Normal"/>
        <w:widowControl/>
        <w:numPr>
          <w:ilvl w:val="2"/>
          <w:numId w:val="1"/>
        </w:numPr>
        <w:ind w:firstLine="709" w:start="0" w:end="0"/>
        <w:jc w:val="both"/>
        <w:rPr/>
      </w:pPr>
      <w:r>
        <w:rPr/>
        <w:t>В исключительных случаях, когда условия проекта договора, направленного Заказчиком, содержат несоответствия условиям настоящей документации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подписания договора и направить Заказчику протокол разногласий,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настоящей документации, условиям заявки с указанием соответствующих положений (пунктов) данных документов.</w:t>
      </w:r>
    </w:p>
    <w:p>
      <w:pPr>
        <w:pStyle w:val="Normal"/>
        <w:widowControl/>
        <w:numPr>
          <w:ilvl w:val="2"/>
          <w:numId w:val="1"/>
        </w:numPr>
        <w:tabs>
          <w:tab w:val="clear" w:pos="720"/>
          <w:tab w:val="left" w:pos="851" w:leader="none"/>
        </w:tabs>
        <w:ind w:firstLine="709" w:start="0" w:end="0"/>
        <w:jc w:val="both"/>
        <w:rPr/>
      </w:pPr>
      <w:r>
        <w:rPr/>
        <w:t xml:space="preserve">В течение 3 (трех) рабочих дней с даты направления участником протокола разногласий, Заказчик рассматривает протокол разногласий и направляет участнику скорректированный с учетом замечаний участника проект договора либо повторно направляет проект договора без изменений с указанием в отдельном документе причин отказа учесть полностью или частично замечания участника. </w:t>
      </w:r>
    </w:p>
    <w:p>
      <w:pPr>
        <w:pStyle w:val="Normal"/>
        <w:widowControl/>
        <w:numPr>
          <w:ilvl w:val="2"/>
          <w:numId w:val="1"/>
        </w:numPr>
        <w:tabs>
          <w:tab w:val="clear" w:pos="720"/>
          <w:tab w:val="left" w:pos="851" w:leader="none"/>
        </w:tabs>
        <w:ind w:firstLine="709" w:start="0" w:end="0"/>
        <w:jc w:val="both"/>
        <w:rPr/>
      </w:pPr>
      <w:r>
        <w:rPr/>
        <w:t xml:space="preserve">В течение 3 (трех) рабочих дней с даты получения от Заказчика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подписывает проект договора, прикладывает документы, предусмотренные п. </w:t>
      </w:r>
      <w:r>
        <w:rPr/>
        <w:fldChar w:fldCharType="begin"/>
      </w:r>
      <w:r>
        <w:rPr/>
        <w:instrText xml:space="preserve"> REF _Ref55290554 \r \r \h </w:instrText>
      </w:r>
      <w:r>
        <w:rPr/>
        <w:fldChar w:fldCharType="separate"/>
      </w:r>
      <w:r>
        <w:rPr/>
        <w:t>8.1.5</w:t>
      </w:r>
      <w:r>
        <w:rPr/>
        <w:fldChar w:fldCharType="end"/>
      </w:r>
      <w:r>
        <w:rPr/>
        <w:t xml:space="preserve"> настоящего раздела, и направляет на подписание Заказчику.</w:t>
      </w:r>
    </w:p>
    <w:p>
      <w:pPr>
        <w:pStyle w:val="Normal"/>
        <w:widowControl/>
        <w:numPr>
          <w:ilvl w:val="2"/>
          <w:numId w:val="1"/>
        </w:numPr>
        <w:tabs>
          <w:tab w:val="clear" w:pos="720"/>
          <w:tab w:val="left" w:pos="851" w:leader="none"/>
        </w:tabs>
        <w:ind w:firstLine="709" w:start="0" w:end="0"/>
        <w:jc w:val="both"/>
        <w:rPr/>
      </w:pPr>
      <w:r>
        <w:rPr/>
        <w:t xml:space="preserve">В течение 3 (трех) рабочих дней с даты получения от участника подписанного проекта договора и документов, предусмотренных п. </w:t>
      </w:r>
      <w:r>
        <w:rPr/>
        <w:fldChar w:fldCharType="begin"/>
      </w:r>
      <w:r>
        <w:rPr/>
        <w:instrText xml:space="preserve"> REF _Ref55290554 \r \r \h </w:instrText>
      </w:r>
      <w:r>
        <w:rPr/>
        <w:fldChar w:fldCharType="separate"/>
      </w:r>
      <w:r>
        <w:rPr/>
        <w:t>8.1.5</w:t>
      </w:r>
      <w:r>
        <w:rPr/>
        <w:fldChar w:fldCharType="end"/>
      </w:r>
      <w:r>
        <w:rPr/>
        <w:t xml:space="preserve"> настоящего раздела, Заказчик подписывает договор и направляет участнику. </w:t>
      </w:r>
    </w:p>
    <w:p>
      <w:pPr>
        <w:pStyle w:val="Normal"/>
        <w:widowControl/>
        <w:numPr>
          <w:ilvl w:val="2"/>
          <w:numId w:val="1"/>
        </w:numPr>
        <w:tabs>
          <w:tab w:val="clear" w:pos="720"/>
          <w:tab w:val="left" w:pos="851" w:leader="none"/>
        </w:tabs>
        <w:ind w:firstLine="709" w:start="0" w:end="0"/>
        <w:jc w:val="both"/>
        <w:rPr/>
      </w:pPr>
      <w:bookmarkStart w:id="92" w:name="_Ref55322328"/>
      <w:r>
        <w:rPr/>
        <w:t xml:space="preserve">В случае если п. </w:t>
      </w:r>
      <w:r>
        <w:rPr/>
        <w:fldChar w:fldCharType="begin"/>
      </w:r>
      <w:r>
        <w:rPr/>
        <w:instrText xml:space="preserve"> REF _Ref55321529 \r \r \h </w:instrText>
      </w:r>
      <w:r>
        <w:rPr/>
        <w:fldChar w:fldCharType="separate"/>
      </w:r>
      <w:r>
        <w:rPr/>
        <w:t>18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предусмотрено заключение договора в электронной форме на ЭТП, то направление проекта договора, протокола разногласий и иных документов, предусмотренных настоящим разделом, осуществляется посредством функционала ЭТП в соответствии с регламентом ЭТП. Договор подписывается ЭП уполномоченного лица участника и Заказчика.</w:t>
      </w:r>
      <w:bookmarkEnd w:id="92"/>
      <w:r>
        <w:rPr/>
        <w:t xml:space="preserve"> </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93" w:name="__RefHeading___34"/>
      <w:bookmarkEnd w:id="93"/>
      <w:r>
        <w:rPr>
          <w:b/>
        </w:rPr>
        <w:t>Порядок заключения договора с участником, занявшим следующее место, если победитель закупки признан уклонившимся от заключения договора</w:t>
      </w:r>
    </w:p>
    <w:p>
      <w:pPr>
        <w:pStyle w:val="Normal"/>
        <w:widowControl/>
        <w:numPr>
          <w:ilvl w:val="2"/>
          <w:numId w:val="1"/>
        </w:numPr>
        <w:tabs>
          <w:tab w:val="clear" w:pos="720"/>
          <w:tab w:val="left" w:pos="851" w:leader="none"/>
        </w:tabs>
        <w:ind w:firstLine="709" w:start="0" w:end="0"/>
        <w:jc w:val="both"/>
        <w:rPr>
          <w:spacing w:val="-6"/>
        </w:rPr>
      </w:pPr>
      <w:r>
        <w:rPr>
          <w:spacing w:val="-6"/>
        </w:rPr>
        <w:t>В течение 5 (пяти) рабочих дней с даты признания победителя закупки уклонившимся от заключения договора Заказчик вправе направить проект договор на подписание участнику, занявшему следующее место. Такой участник признается победителем закупки, при этом у</w:t>
      </w:r>
      <w:r>
        <w:rPr/>
        <w:t>словия заключаемого договора определяются путем включения в проект договора, приведенный в разделе V «ПРОЕКТ ДОГОВОРА» документации, условий исполнения договора, предложенных в заявке на участие в закупке таким участником с учетом преддоговорных переговоров (если проводились).</w:t>
      </w:r>
    </w:p>
    <w:p>
      <w:pPr>
        <w:pStyle w:val="Normal"/>
        <w:widowControl/>
        <w:numPr>
          <w:ilvl w:val="2"/>
          <w:numId w:val="1"/>
        </w:numPr>
        <w:tabs>
          <w:tab w:val="clear" w:pos="720"/>
          <w:tab w:val="left" w:pos="851" w:leader="none"/>
        </w:tabs>
        <w:ind w:firstLine="709" w:start="0" w:end="0"/>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\r \h </w:instrText>
      </w:r>
      <w:r>
        <w:rPr>
          <w:spacing w:val="-6"/>
        </w:rPr>
        <w:fldChar w:fldCharType="separate"/>
      </w:r>
      <w:r>
        <w:rPr>
          <w:spacing w:val="-6"/>
        </w:rPr>
        <w:t>8.1.3</w:t>
      </w:r>
      <w:r>
        <w:rPr>
          <w:spacing w:val="-6"/>
        </w:rPr>
        <w:fldChar w:fldCharType="end"/>
      </w:r>
      <w:r>
        <w:rPr>
          <w:spacing w:val="-6"/>
        </w:rPr>
        <w:t xml:space="preserve"> – п. </w:t>
      </w:r>
      <w:r>
        <w:rPr>
          <w:spacing w:val="-6"/>
        </w:rPr>
        <w:fldChar w:fldCharType="begin"/>
      </w:r>
      <w:r>
        <w:rPr>
          <w:spacing w:val="-6"/>
        </w:rPr>
        <w:instrText xml:space="preserve"> REF _Ref55322328 \r \r \h </w:instrText>
      </w:r>
      <w:r>
        <w:rPr>
          <w:spacing w:val="-6"/>
        </w:rPr>
        <w:fldChar w:fldCharType="separate"/>
      </w:r>
      <w:r>
        <w:rPr>
          <w:spacing w:val="-6"/>
        </w:rPr>
        <w:t>8.1.10</w:t>
      </w:r>
      <w:r>
        <w:rPr>
          <w:spacing w:val="-6"/>
        </w:rPr>
        <w:fldChar w:fldCharType="end"/>
      </w:r>
      <w:r>
        <w:rPr>
          <w:spacing w:val="-6"/>
        </w:rPr>
        <w:t xml:space="preserve"> настоящей документации.</w:t>
      </w:r>
    </w:p>
    <w:p>
      <w:pPr>
        <w:pStyle w:val="Normal"/>
        <w:widowControl/>
        <w:numPr>
          <w:ilvl w:val="2"/>
          <w:numId w:val="1"/>
        </w:numPr>
        <w:tabs>
          <w:tab w:val="clear" w:pos="720"/>
          <w:tab w:val="left" w:pos="851" w:leader="none"/>
        </w:tabs>
        <w:ind w:firstLine="709" w:start="0" w:end="0"/>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\r \h </w:instrText>
      </w:r>
      <w:r>
        <w:rPr>
          <w:spacing w:val="-6"/>
        </w:rPr>
        <w:fldChar w:fldCharType="separate"/>
      </w:r>
      <w:r>
        <w:rPr>
          <w:spacing w:val="-6"/>
        </w:rPr>
        <w:t>8.5</w:t>
      </w:r>
      <w:r>
        <w:rPr>
          <w:spacing w:val="-6"/>
        </w:rPr>
        <w:fldChar w:fldCharType="end"/>
      </w:r>
      <w:r>
        <w:rPr>
          <w:spacing w:val="-6"/>
        </w:rPr>
        <w:t xml:space="preserve"> настоящей документации. </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94" w:name="__RefHeading___35"/>
      <w:bookmarkEnd w:id="94"/>
      <w:r>
        <w:rPr>
          <w:b/>
        </w:rPr>
        <w:t xml:space="preserve">Антидемпинговые меры </w:t>
      </w:r>
    </w:p>
    <w:p>
      <w:pPr>
        <w:pStyle w:val="Normal"/>
        <w:widowControl/>
        <w:numPr>
          <w:ilvl w:val="2"/>
          <w:numId w:val="1"/>
        </w:numPr>
        <w:tabs>
          <w:tab w:val="clear" w:pos="720"/>
          <w:tab w:val="left" w:pos="960" w:leader="none"/>
        </w:tabs>
        <w:ind w:firstLine="709" w:start="0" w:end="0"/>
        <w:jc w:val="both"/>
        <w:rPr/>
      </w:pPr>
      <w:bookmarkStart w:id="95" w:name="_Ref57043700"/>
      <w:r>
        <w:rPr>
          <w:color w:val="000000"/>
        </w:rPr>
        <w:t xml:space="preserve">В случае если цена договора/цена за единицу продукции, предложенная участником в заявке, ниже НМЦ договора/НМЦед. на размер, указанный в </w:t>
      </w:r>
      <w:r>
        <w:rPr/>
        <w:t xml:space="preserve">п. </w:t>
      </w:r>
      <w:r>
        <w:rPr/>
        <w:fldChar w:fldCharType="begin"/>
      </w:r>
      <w:r>
        <w:rPr/>
        <w:instrText xml:space="preserve"> REF _Ref74684056 \r \r \h </w:instrText>
      </w:r>
      <w:r>
        <w:rPr/>
        <w:fldChar w:fldCharType="separate"/>
      </w:r>
      <w:r>
        <w:rPr/>
        <w:t>20</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r>
        <w:rPr>
          <w:color w:val="000000"/>
        </w:rPr>
        <w:t xml:space="preserve"> (далее – демпинговая цена), то Заказчик применяет антидемпинговые меры, предусмотренные </w:t>
      </w:r>
      <w:r>
        <w:rPr/>
        <w:t xml:space="preserve">п. </w:t>
      </w:r>
      <w:r>
        <w:rPr/>
        <w:fldChar w:fldCharType="begin"/>
      </w:r>
      <w:r>
        <w:rPr/>
        <w:instrText xml:space="preserve"> REF _Ref74684056 \r \r \h </w:instrText>
      </w:r>
      <w:r>
        <w:rPr/>
        <w:fldChar w:fldCharType="separate"/>
      </w:r>
      <w:r>
        <w:rPr/>
        <w:t>20</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bookmarkEnd w:id="95"/>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96" w:name="__RefHeading___36"/>
      <w:bookmarkStart w:id="97" w:name="_Ref57203093"/>
      <w:bookmarkEnd w:id="96"/>
      <w:r>
        <w:rPr>
          <w:b/>
        </w:rPr>
        <w:t>Обеспечение исполнения договора</w:t>
      </w:r>
      <w:bookmarkEnd w:id="97"/>
    </w:p>
    <w:p>
      <w:pPr>
        <w:pStyle w:val="Normal"/>
        <w:widowControl/>
        <w:numPr>
          <w:ilvl w:val="2"/>
          <w:numId w:val="1"/>
        </w:numPr>
        <w:tabs>
          <w:tab w:val="clear" w:pos="720"/>
          <w:tab w:val="left" w:pos="960" w:leader="none"/>
        </w:tabs>
        <w:ind w:firstLine="709" w:start="0" w:end="0"/>
        <w:jc w:val="both"/>
        <w:rPr/>
      </w:pPr>
      <w:r>
        <w:rPr/>
        <w:t xml:space="preserve">В случае, если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установлено требование о предоставлении обеспечения исполнения договора, участник должен предоставить обеспечение исполнения договора в размере и валюте согласно требованиям, установленным в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p>
    <w:p>
      <w:pPr>
        <w:pStyle w:val="Normal"/>
        <w:widowControl/>
        <w:numPr>
          <w:ilvl w:val="2"/>
          <w:numId w:val="1"/>
        </w:numPr>
        <w:tabs>
          <w:tab w:val="clear" w:pos="720"/>
          <w:tab w:val="left" w:pos="960" w:leader="none"/>
        </w:tabs>
        <w:ind w:firstLine="709" w:start="0" w:end="0"/>
        <w:jc w:val="both"/>
        <w:rPr/>
      </w:pPr>
      <w:bookmarkStart w:id="98" w:name="_Ref55322692"/>
      <w:r>
        <w:rPr/>
        <w:t xml:space="preserve">Обеспечение исполнения договора должно быть предоставлено участником в сроки и по форме, установленным в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w:t>
      </w:r>
      <w:bookmarkEnd w:id="98"/>
      <w:r>
        <w:rPr/>
        <w:t xml:space="preserve"> </w:t>
      </w:r>
    </w:p>
    <w:p>
      <w:pPr>
        <w:pStyle w:val="Normal"/>
        <w:widowControl/>
        <w:numPr>
          <w:ilvl w:val="2"/>
          <w:numId w:val="1"/>
        </w:numPr>
        <w:tabs>
          <w:tab w:val="clear" w:pos="720"/>
          <w:tab w:val="left" w:pos="960" w:leader="none"/>
        </w:tabs>
        <w:ind w:firstLine="709" w:start="0" w:end="0"/>
        <w:jc w:val="both"/>
        <w:rPr/>
      </w:pPr>
      <w:bookmarkStart w:id="99" w:name="_Ref55322706"/>
      <w:r>
        <w:rPr>
          <w:spacing w:val="-6"/>
        </w:rPr>
        <w:t>В случае если</w:t>
      </w:r>
      <w:r>
        <w:rPr/>
        <w:t xml:space="preserve">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w:t>
      </w:r>
      <w:r>
        <w:rPr>
          <w:spacing w:val="-6"/>
        </w:rPr>
        <w:t>предусмотрено требование о предоставлении обеспечения исполнения заказа/заявки (далее - заказа) на поставку товаров, выполнение работ, оказание услуг по договору, заключаемому по результатам закупки, такое обеспечение предоставляется в рамках подписания соответствующего заказа в порядке, размере и в сроки, предусмотренные таким договором.</w:t>
      </w:r>
      <w:bookmarkEnd w:id="99"/>
    </w:p>
    <w:p>
      <w:pPr>
        <w:pStyle w:val="Normal"/>
        <w:widowControl/>
        <w:numPr>
          <w:ilvl w:val="2"/>
          <w:numId w:val="1"/>
        </w:numPr>
        <w:tabs>
          <w:tab w:val="clear" w:pos="720"/>
          <w:tab w:val="left" w:pos="960" w:leader="none"/>
        </w:tabs>
        <w:ind w:firstLine="709" w:start="0" w:end="0"/>
        <w:jc w:val="both"/>
        <w:rPr/>
      </w:pPr>
      <w:r>
        <w:rP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в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pPr>
        <w:pStyle w:val="Normal"/>
        <w:widowControl/>
        <w:numPr>
          <w:ilvl w:val="2"/>
          <w:numId w:val="1"/>
        </w:numPr>
        <w:tabs>
          <w:tab w:val="clear" w:pos="720"/>
          <w:tab w:val="left" w:pos="960" w:leader="none"/>
        </w:tabs>
        <w:ind w:firstLine="709" w:start="0" w:end="0"/>
        <w:jc w:val="both"/>
        <w:rPr/>
      </w:pPr>
      <w:r>
        <w:rP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rPr/>
        <w:fldChar w:fldCharType="begin"/>
      </w:r>
      <w:r>
        <w:rPr/>
        <w:instrText xml:space="preserve"> REF _Ref55322692 \r \r \h </w:instrText>
      </w:r>
      <w:r>
        <w:rPr/>
        <w:fldChar w:fldCharType="separate"/>
      </w:r>
      <w:r>
        <w:rPr/>
        <w:t>8.4.2</w:t>
      </w:r>
      <w:r>
        <w:rPr/>
        <w:fldChar w:fldCharType="end"/>
      </w:r>
      <w:r>
        <w:rPr/>
        <w:t xml:space="preserve"> – п. </w:t>
      </w:r>
      <w:r>
        <w:rPr/>
        <w:fldChar w:fldCharType="begin"/>
      </w:r>
      <w:r>
        <w:rPr/>
        <w:instrText xml:space="preserve"> REF _Ref55322706 \r \r \h </w:instrText>
      </w:r>
      <w:r>
        <w:rPr/>
        <w:fldChar w:fldCharType="separate"/>
      </w:r>
      <w:r>
        <w:rPr/>
        <w:t>8.4.3</w:t>
      </w:r>
      <w:r>
        <w:rPr/>
        <w:fldChar w:fldCharType="end"/>
      </w:r>
      <w:r>
        <w:rPr/>
        <w:t xml:space="preserve"> настоящего раздела документации, денежные средства не поступили на счет, который указан в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участник признается уклонившимся от заключения договора. </w:t>
      </w:r>
    </w:p>
    <w:p>
      <w:pPr>
        <w:pStyle w:val="Normal"/>
        <w:widowControl/>
        <w:numPr>
          <w:ilvl w:val="2"/>
          <w:numId w:val="1"/>
        </w:numPr>
        <w:tabs>
          <w:tab w:val="clear" w:pos="720"/>
          <w:tab w:val="left" w:pos="960" w:leader="none"/>
        </w:tabs>
        <w:ind w:firstLine="709" w:start="0" w:end="0"/>
        <w:jc w:val="both"/>
        <w:rPr>
          <w:color w:val="000000"/>
          <w:u w:val="none"/>
        </w:rPr>
      </w:pPr>
      <w:r>
        <w:rPr/>
        <w:t xml:space="preserve">В случае предоставления обеспечения исполнения договора путем направления банковской гарантии, банковская гарантия должна быть выдана любым из банков, перечисленных в списке по ссылке: </w:t>
      </w:r>
      <w:hyperlink r:id="rId16">
        <w:r>
          <w:rPr>
            <w:rStyle w:val="Style4"/>
          </w:rPr>
          <w:t>http://zakupki.rostelecom.ru/docs/manual/</w:t>
        </w:r>
      </w:hyperlink>
      <w:r>
        <w:rPr/>
        <w:t>. Участником может быть согласовано с Заказчиком предоставление банковской гарантии иным банком, не указанным в перечне. Требования к такому банку и порядок согласования предусмотрены п. 8.4.11 настоящей документации.</w:t>
      </w:r>
    </w:p>
    <w:p>
      <w:pPr>
        <w:pStyle w:val="Normal"/>
        <w:widowControl/>
        <w:numPr>
          <w:ilvl w:val="2"/>
          <w:numId w:val="1"/>
        </w:numPr>
        <w:tabs>
          <w:tab w:val="clear" w:pos="720"/>
          <w:tab w:val="left" w:pos="960" w:leader="none"/>
        </w:tabs>
        <w:ind w:firstLine="709" w:start="0" w:end="0"/>
        <w:jc w:val="both"/>
        <w:rPr/>
      </w:pPr>
      <w:r>
        <w:rPr/>
        <w:t>Для целей определения терминов в настоящем пункте под следующими терминами понимается:</w:t>
      </w:r>
    </w:p>
    <w:p>
      <w:pPr>
        <w:pStyle w:val="Normal"/>
        <w:widowControl/>
        <w:spacing w:lineRule="atLeast" w:line="23"/>
        <w:ind w:firstLine="709" w:start="0" w:end="0"/>
        <w:jc w:val="both"/>
        <w:rPr/>
      </w:pPr>
      <w:r>
        <w:rPr/>
        <w:t>Гарант - лицо, выдающее, предоставляющее гарантию;</w:t>
      </w:r>
    </w:p>
    <w:p>
      <w:pPr>
        <w:pStyle w:val="Normal"/>
        <w:widowControl/>
        <w:spacing w:lineRule="atLeast" w:line="23"/>
        <w:ind w:firstLine="709" w:start="0" w:end="0"/>
        <w:jc w:val="both"/>
        <w:rPr/>
      </w:pPr>
      <w:r>
        <w:rPr/>
        <w:t>Принципал – участник, с которым заключается договор (договоры) по результатам закупки;</w:t>
      </w:r>
    </w:p>
    <w:p>
      <w:pPr>
        <w:pStyle w:val="Normal"/>
        <w:widowControl/>
        <w:spacing w:lineRule="atLeast" w:line="23"/>
        <w:ind w:firstLine="709" w:start="0" w:end="0"/>
        <w:jc w:val="both"/>
        <w:rPr>
          <w:sz w:val="10"/>
        </w:rPr>
      </w:pPr>
      <w:r>
        <w:rPr/>
        <w:t>Бенефициар – Заказчик.</w:t>
      </w:r>
    </w:p>
    <w:p>
      <w:pPr>
        <w:pStyle w:val="Normal"/>
        <w:widowControl/>
        <w:spacing w:lineRule="atLeast" w:line="23"/>
        <w:ind w:firstLine="709" w:start="0" w:end="0"/>
        <w:jc w:val="both"/>
        <w:rPr/>
      </w:pPr>
      <w:r>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pPr>
        <w:pStyle w:val="Normal"/>
        <w:widowControl/>
        <w:spacing w:lineRule="atLeast" w:line="23"/>
        <w:ind w:firstLine="709" w:start="0" w:end="0"/>
        <w:jc w:val="both"/>
        <w:rPr/>
      </w:pPr>
      <w:r>
        <w:rPr/>
        <w:t>1) Указание наименования Принципала и Бенефициара по такой банковской гарантии;</w:t>
      </w:r>
    </w:p>
    <w:p>
      <w:pPr>
        <w:pStyle w:val="Normal"/>
        <w:widowControl/>
        <w:spacing w:lineRule="atLeast" w:line="23"/>
        <w:ind w:firstLine="709" w:start="0" w:end="0"/>
        <w:jc w:val="both"/>
        <w:rPr/>
      </w:pPr>
      <w:r>
        <w:rPr/>
        <w:t>2) Сумма банковской гарантии, соответствующая размеру обеспечения исполнения договора, указанному в настоящей документации;</w:t>
      </w:r>
    </w:p>
    <w:p>
      <w:pPr>
        <w:pStyle w:val="Normal"/>
        <w:widowControl/>
        <w:spacing w:lineRule="atLeast" w:line="23"/>
        <w:ind w:firstLine="709" w:start="0" w:end="0"/>
        <w:jc w:val="both"/>
        <w:rPr/>
      </w:pPr>
      <w:r>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pPr>
        <w:pStyle w:val="Normal"/>
        <w:widowControl/>
        <w:spacing w:lineRule="atLeast" w:line="23"/>
        <w:ind w:firstLine="709" w:start="0" w:end="0"/>
        <w:jc w:val="both"/>
        <w:rPr/>
      </w:pPr>
      <w:r>
        <w:rPr/>
        <w:t>4) Банковская гарантия должна быть безотзывной;</w:t>
      </w:r>
    </w:p>
    <w:p>
      <w:pPr>
        <w:pStyle w:val="Normal"/>
        <w:widowControl/>
        <w:spacing w:lineRule="atLeast" w:line="23"/>
        <w:ind w:firstLine="709" w:start="0" w:end="0"/>
        <w:jc w:val="both"/>
        <w:rPr/>
      </w:pPr>
      <w:r>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pPr>
        <w:pStyle w:val="Normal"/>
        <w:widowControl/>
        <w:spacing w:lineRule="atLeast" w:line="23"/>
        <w:ind w:firstLine="709" w:start="0" w:end="0"/>
        <w:jc w:val="both"/>
        <w:rPr/>
      </w:pPr>
      <w:r>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pPr>
        <w:pStyle w:val="Normal"/>
        <w:widowControl/>
        <w:spacing w:lineRule="atLeast" w:line="23"/>
        <w:ind w:firstLine="709" w:start="0" w:end="0"/>
        <w:jc w:val="both"/>
        <w:rPr/>
      </w:pPr>
      <w:r>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pPr>
        <w:pStyle w:val="Normal"/>
        <w:widowControl/>
        <w:ind w:firstLine="709" w:start="0" w:end="0"/>
        <w:jc w:val="both"/>
        <w:rPr/>
      </w:pPr>
      <w:r>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pPr>
        <w:pStyle w:val="Normal"/>
        <w:widowControl/>
        <w:numPr>
          <w:ilvl w:val="2"/>
          <w:numId w:val="1"/>
        </w:numPr>
        <w:tabs>
          <w:tab w:val="clear" w:pos="720"/>
          <w:tab w:val="left" w:pos="960" w:leader="none"/>
        </w:tabs>
        <w:ind w:firstLine="709" w:start="0" w:end="0"/>
        <w:jc w:val="both"/>
        <w:rPr/>
      </w:pPr>
      <w:r>
        <w:rPr/>
        <w:t xml:space="preserve">Предоставляемая банковская гарантия оформляется в соответствии с требованиями п. </w:t>
      </w:r>
      <w:r>
        <w:rPr/>
        <w:fldChar w:fldCharType="begin"/>
      </w:r>
      <w:r>
        <w:rPr/>
        <w:instrText xml:space="preserve"> REF _Ref55321385 \r \r \h </w:instrText>
      </w:r>
      <w:r>
        <w:rPr/>
        <w:fldChar w:fldCharType="separate"/>
      </w:r>
      <w:r>
        <w:rPr/>
        <w:t>8</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Предоставление банковской гарантии в иной форме не допускается. </w:t>
      </w:r>
    </w:p>
    <w:p>
      <w:pPr>
        <w:pStyle w:val="Normal"/>
        <w:widowControl/>
        <w:numPr>
          <w:ilvl w:val="2"/>
          <w:numId w:val="1"/>
        </w:numPr>
        <w:tabs>
          <w:tab w:val="clear" w:pos="720"/>
          <w:tab w:val="left" w:pos="960" w:leader="none"/>
        </w:tabs>
        <w:ind w:firstLine="709" w:start="0" w:end="0"/>
        <w:jc w:val="both"/>
        <w:rPr/>
      </w:pPr>
      <w:r>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pPr>
        <w:pStyle w:val="Normal"/>
        <w:widowControl/>
        <w:numPr>
          <w:ilvl w:val="2"/>
          <w:numId w:val="1"/>
        </w:numPr>
        <w:tabs>
          <w:tab w:val="clear" w:pos="720"/>
          <w:tab w:val="left" w:pos="960" w:leader="none"/>
        </w:tabs>
        <w:ind w:firstLine="709" w:start="0" w:end="0"/>
        <w:jc w:val="both"/>
        <w:rPr/>
      </w:pPr>
      <w:r>
        <w:rPr/>
        <w:t xml:space="preserve">Порядок и случаи удержания денежных средств, внесенных в качестве обеспечения исполнения договора/взыскания с Гаранта, предоставившего банковскую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разделе V. «ПРОЕКТ ДОГОВОРА» документации. </w:t>
      </w:r>
    </w:p>
    <w:p>
      <w:pPr>
        <w:pStyle w:val="Normal"/>
        <w:widowControl/>
        <w:numPr>
          <w:ilvl w:val="2"/>
          <w:numId w:val="1"/>
        </w:numPr>
        <w:tabs>
          <w:tab w:val="clear" w:pos="720"/>
          <w:tab w:val="left" w:pos="960" w:leader="none"/>
        </w:tabs>
        <w:ind w:firstLine="709" w:start="0" w:end="0"/>
        <w:jc w:val="both"/>
        <w:rPr/>
      </w:pPr>
      <w:r>
        <w:rPr/>
        <w:t>В случае предоставления участником, с которым планируется заключение договора, гарантии от банка не из перечня, указанного в п. 8.4.6 настоящей документации, такой банк должен отвечать следующим требованиям:</w:t>
      </w:r>
    </w:p>
    <w:p>
      <w:pPr>
        <w:pStyle w:val="ListParagraph1"/>
        <w:widowControl/>
        <w:numPr>
          <w:ilvl w:val="0"/>
          <w:numId w:val="8"/>
        </w:numPr>
        <w:ind w:hanging="517" w:start="1368" w:end="0"/>
        <w:jc w:val="both"/>
        <w:rPr/>
      </w:pPr>
      <w:r>
        <w:rPr/>
        <w:t>Капитал банка не менее 30 млрд. руб.;</w:t>
      </w:r>
    </w:p>
    <w:p>
      <w:pPr>
        <w:pStyle w:val="ListParagraph1"/>
        <w:widowControl/>
        <w:numPr>
          <w:ilvl w:val="0"/>
          <w:numId w:val="8"/>
        </w:numPr>
        <w:ind w:hanging="517" w:start="1368" w:end="0"/>
        <w:jc w:val="both"/>
        <w:rPr/>
      </w:pPr>
      <w:r>
        <w:rPr/>
        <w:t>Наличие рейтинга АКРА/НКР/Эксперт РА (по крайней мере от одного агентства) не ниже уровня ВВВ по национальной рейтинговой шкале;</w:t>
      </w:r>
    </w:p>
    <w:p>
      <w:pPr>
        <w:pStyle w:val="ListParagraph1"/>
        <w:widowControl/>
        <w:numPr>
          <w:ilvl w:val="0"/>
          <w:numId w:val="8"/>
        </w:numPr>
        <w:ind w:hanging="517" w:start="1368" w:end="0"/>
        <w:jc w:val="both"/>
        <w:rPr/>
      </w:pPr>
      <w:r>
        <w:rPr/>
        <w:t>Наличие в банке кредитных продуктов для корпоративных клиентов, в том числе возможности выдачи независимых гарантий.</w:t>
      </w:r>
    </w:p>
    <w:p>
      <w:pPr>
        <w:pStyle w:val="Normal"/>
        <w:widowControl/>
        <w:tabs>
          <w:tab w:val="clear" w:pos="720"/>
          <w:tab w:val="left" w:pos="1004" w:leader="none"/>
        </w:tabs>
        <w:jc w:val="both"/>
        <w:rPr/>
      </w:pPr>
      <w:r>
        <w:rPr/>
        <w:t xml:space="preserve">Участник согласовывает банк с Заказчиком, направив его наименование на адрес электронной почты лица, отвечающего за организационные вопросы проведения закупки, согласно п. </w:t>
      </w:r>
      <w:r>
        <w:rPr/>
        <w:fldChar w:fldCharType="begin"/>
      </w:r>
      <w:r>
        <w:rPr/>
        <w:instrText xml:space="preserve"> REF _Ref368314103 \r \r \h </w:instrText>
      </w:r>
      <w:r>
        <w:rPr/>
        <w:fldChar w:fldCharType="separate"/>
      </w:r>
      <w:r>
        <w:rPr/>
        <w:t>1</w:t>
      </w:r>
      <w:r>
        <w:rPr/>
        <w:fldChar w:fldCharType="end"/>
      </w:r>
      <w:r>
        <w:rPr/>
        <w:t xml:space="preserve"> раздела </w:t>
      </w:r>
      <w:hyperlink w:anchor="_РАЗДЕЛ_II._ИНФОРМАЦИОННАЯ_1">
        <w:r>
          <w:rPr>
            <w:rStyle w:val="Style4"/>
          </w:rPr>
          <w:t>II «ИНФОРМАЦИОННАЯ КАРТА»</w:t>
        </w:r>
      </w:hyperlink>
      <w:r>
        <w:rPr/>
        <w:t xml:space="preserve"> документации.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установленный п. </w:t>
      </w:r>
      <w:r>
        <w:rPr/>
        <w:fldChar w:fldCharType="begin"/>
      </w:r>
      <w:r>
        <w:rPr/>
        <w:instrText xml:space="preserve"> REF _Ref55322692 \r \r \h </w:instrText>
      </w:r>
      <w:r>
        <w:rPr/>
        <w:fldChar w:fldCharType="separate"/>
      </w:r>
      <w:r>
        <w:rPr/>
        <w:t>8.4.2</w:t>
      </w:r>
      <w:r>
        <w:rPr/>
        <w:fldChar w:fldCharType="end"/>
      </w:r>
      <w:r>
        <w:rPr/>
        <w:t xml:space="preserve"> настоящей документации и по форме, предусмотренной настоящей документацией. </w:t>
      </w:r>
    </w:p>
    <w:p>
      <w:pPr>
        <w:pStyle w:val="NormalWeb1"/>
        <w:keepNext w:val="true"/>
        <w:widowControl/>
        <w:numPr>
          <w:ilvl w:val="1"/>
          <w:numId w:val="1"/>
        </w:numPr>
        <w:tabs>
          <w:tab w:val="clear" w:pos="720"/>
          <w:tab w:val="left" w:pos="1276" w:leader="none"/>
        </w:tabs>
        <w:spacing w:before="120" w:after="0"/>
        <w:ind w:firstLine="709" w:start="0" w:end="0"/>
        <w:jc w:val="both"/>
        <w:outlineLvl w:val="1"/>
        <w:rPr>
          <w:b/>
        </w:rPr>
      </w:pPr>
      <w:bookmarkStart w:id="100" w:name="__RefHeading___37"/>
      <w:bookmarkStart w:id="101" w:name="_Ref55322343"/>
      <w:bookmarkEnd w:id="100"/>
      <w:r>
        <w:rPr>
          <w:b/>
        </w:rPr>
        <w:t>Последствия уклонения участника от заключения договора, случаи внесения сведений об участнике в реестр недобросовестных поставщиков</w:t>
      </w:r>
      <w:bookmarkEnd w:id="101"/>
    </w:p>
    <w:p>
      <w:pPr>
        <w:pStyle w:val="Normal"/>
        <w:widowControl/>
        <w:numPr>
          <w:ilvl w:val="2"/>
          <w:numId w:val="1"/>
        </w:numPr>
        <w:tabs>
          <w:tab w:val="clear" w:pos="720"/>
          <w:tab w:val="left" w:pos="851" w:leader="none"/>
        </w:tabs>
        <w:ind w:firstLine="709" w:start="0" w:end="0"/>
        <w:jc w:val="both"/>
        <w:rPr>
          <w:spacing w:val="-6"/>
        </w:rPr>
      </w:pPr>
      <w:r>
        <w:rPr>
          <w:spacing w:val="-6"/>
        </w:rPr>
        <w:t>Под уклонением от заключения договора понимаются действия лица, с которым заключается договор:</w:t>
      </w:r>
    </w:p>
    <w:p>
      <w:pPr>
        <w:pStyle w:val="Normal"/>
        <w:widowControl/>
        <w:ind w:firstLine="709" w:start="0" w:end="0"/>
        <w:jc w:val="both"/>
        <w:rPr/>
      </w:pPr>
      <w:r>
        <w:rPr/>
        <w:t>1)</w:t>
        <w:tab/>
        <w:t>прямой письменный отказ от подписания договора;</w:t>
      </w:r>
    </w:p>
    <w:p>
      <w:pPr>
        <w:pStyle w:val="Normal"/>
        <w:widowControl/>
        <w:ind w:firstLine="709" w:start="0" w:end="0"/>
        <w:jc w:val="both"/>
        <w:rPr/>
      </w:pPr>
      <w:r>
        <w:rPr/>
        <w:t>2)</w:t>
        <w:tab/>
        <w:t>неподписание проекта договора в предусмотренный для этого настоящей документацией срок;</w:t>
      </w:r>
    </w:p>
    <w:p>
      <w:pPr>
        <w:pStyle w:val="Normal"/>
        <w:widowControl/>
        <w:ind w:firstLine="709" w:start="0" w:end="0"/>
        <w:jc w:val="both"/>
        <w:rPr/>
      </w:pPr>
      <w:r>
        <w:rPr/>
        <w:t>3)</w:t>
        <w:tab/>
        <w:t>предъявление при подписании договора встречных требований по условиям договора, противоречащих ранее установленным в настоящей документации и (или) в заявке такого участника и достигнутым в ходе преддоговорных переговоров условиям;</w:t>
      </w:r>
    </w:p>
    <w:p>
      <w:pPr>
        <w:pStyle w:val="Normal"/>
        <w:widowControl/>
        <w:ind w:firstLine="709" w:start="0" w:end="0"/>
        <w:jc w:val="both"/>
        <w:rPr/>
      </w:pPr>
      <w:r>
        <w:rPr/>
        <w:t>4)</w:t>
        <w:tab/>
        <w:t>непредставление документов, обязательных к предоставлению до заключения договора и предусмотренных настоящей документацией и (или) в заявке такого участника;</w:t>
      </w:r>
    </w:p>
    <w:p>
      <w:pPr>
        <w:pStyle w:val="Normal"/>
        <w:widowControl/>
        <w:numPr>
          <w:ilvl w:val="2"/>
          <w:numId w:val="1"/>
        </w:numPr>
        <w:tabs>
          <w:tab w:val="clear" w:pos="720"/>
          <w:tab w:val="left" w:pos="851" w:leader="none"/>
        </w:tabs>
        <w:ind w:firstLine="709" w:start="0" w:end="0"/>
        <w:jc w:val="both"/>
        <w:rPr>
          <w:spacing w:val="-6"/>
        </w:rPr>
      </w:pPr>
      <w:bookmarkStart w:id="102" w:name="_Ref55322259"/>
      <w:r>
        <w:rPr>
          <w:spacing w:val="-6"/>
        </w:rPr>
        <w:t>При уклонении лица, с которым заключается договор, от подписания такого договора, Заказчик:</w:t>
      </w:r>
      <w:bookmarkEnd w:id="102"/>
    </w:p>
    <w:p>
      <w:pPr>
        <w:pStyle w:val="Normal"/>
        <w:widowControl/>
        <w:ind w:firstLine="709" w:start="0" w:end="0"/>
        <w:jc w:val="both"/>
        <w:rPr/>
      </w:pPr>
      <w:r>
        <w:rPr/>
        <w:t>1)</w:t>
        <w:tab/>
        <w:t>удерживает обеспечение заявки такого лица (если требование о предоставлении обеспечения заявки установлено настоящей документацией);</w:t>
      </w:r>
    </w:p>
    <w:p>
      <w:pPr>
        <w:pStyle w:val="Normal"/>
        <w:widowControl/>
        <w:ind w:firstLine="709" w:start="0" w:end="0"/>
        <w:jc w:val="both"/>
        <w:rPr/>
      </w:pPr>
      <w:r>
        <w:rPr/>
        <w:t>2)</w:t>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pPr>
        <w:pStyle w:val="Normal"/>
        <w:widowControl/>
        <w:numPr>
          <w:ilvl w:val="2"/>
          <w:numId w:val="1"/>
        </w:numPr>
        <w:tabs>
          <w:tab w:val="clear" w:pos="720"/>
          <w:tab w:val="left" w:pos="851" w:leader="none"/>
        </w:tabs>
        <w:ind w:firstLine="709" w:start="0" w:end="0"/>
        <w:jc w:val="both"/>
        <w:rPr>
          <w:spacing w:val="-6"/>
        </w:rPr>
      </w:pPr>
      <w:r>
        <w:rPr>
          <w:spacing w:val="-6"/>
        </w:rPr>
        <w:t xml:space="preserve">Помимо основания, указанного в пп. 2) п. </w:t>
      </w:r>
      <w:r>
        <w:rPr>
          <w:spacing w:val="-6"/>
        </w:rPr>
        <w:fldChar w:fldCharType="begin"/>
      </w:r>
      <w:r>
        <w:rPr>
          <w:spacing w:val="-6"/>
        </w:rPr>
        <w:instrText xml:space="preserve"> REF _Ref55322259 \r \r \h </w:instrText>
      </w:r>
      <w:r>
        <w:rPr>
          <w:spacing w:val="-6"/>
        </w:rPr>
        <w:fldChar w:fldCharType="separate"/>
      </w:r>
      <w:r>
        <w:rPr>
          <w:spacing w:val="-6"/>
        </w:rPr>
        <w:t>8.5.2</w:t>
      </w:r>
      <w:r>
        <w:rPr>
          <w:spacing w:val="-6"/>
        </w:rPr>
        <w:fldChar w:fldCharType="end"/>
      </w:r>
      <w:r>
        <w:rPr>
          <w:spacing w:val="-6"/>
        </w:rPr>
        <w:t xml:space="preserve"> настоящего раздела, Заказчик направляет предложение в соответствующий орган о включении сведений о поставщике (подрядчике, исполнителе)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 в случае если договор, заключенный по результатам закупки, расторгнут по решению суда в связи с существенным нарушением таким поставщиком (подрядчиком, исполнителем) условий договора.</w:t>
      </w:r>
    </w:p>
    <w:p>
      <w:pPr>
        <w:pStyle w:val="ListParagraph1"/>
        <w:widowControl/>
        <w:numPr>
          <w:ilvl w:val="1"/>
          <w:numId w:val="1"/>
        </w:numPr>
        <w:tabs>
          <w:tab w:val="clear" w:pos="720"/>
          <w:tab w:val="left" w:pos="1276" w:leader="none"/>
          <w:tab w:val="left" w:pos="2912" w:leader="none"/>
        </w:tabs>
        <w:ind w:firstLine="709" w:start="0" w:end="0"/>
        <w:jc w:val="both"/>
        <w:rPr>
          <w:spacing w:val="-6"/>
        </w:rPr>
      </w:pPr>
      <w:r>
        <w:rPr>
          <w:b/>
        </w:rPr>
        <w:t>Антикоррупционные требования и каналы обратной связи, по которым можно сообщить о фактах злоупотребления при проведении закупки</w:t>
      </w:r>
    </w:p>
    <w:p>
      <w:pPr>
        <w:pStyle w:val="Normal"/>
        <w:widowControl/>
        <w:numPr>
          <w:ilvl w:val="2"/>
          <w:numId w:val="1"/>
        </w:numPr>
        <w:tabs>
          <w:tab w:val="clear" w:pos="720"/>
          <w:tab w:val="left" w:pos="851" w:leader="none"/>
        </w:tabs>
        <w:ind w:firstLine="709" w:start="0" w:end="0"/>
        <w:jc w:val="both"/>
        <w:rPr/>
      </w:pPr>
      <w:r>
        <w:rPr>
          <w:spacing w:val="-6"/>
        </w:rPr>
        <w:t xml:space="preserve">ПАО «Ростелеком» </w:t>
      </w:r>
      <w:r>
        <w:rPr/>
        <w:t>ожидает от своих поставщиков/контрагентов, их сотрудников, представителей, субподрядчиков, взаимодействующих с ПАО «Ростелеком», соблюдения ими принципов изложенных в Кодексе деловой этики поставщика ПАО «Ростелеком» (</w:t>
      </w:r>
      <w:hyperlink r:id="rId17">
        <w:r>
          <w:rPr>
            <w:rStyle w:val="Style4"/>
          </w:rPr>
          <w:t>https://nocorruption.rt.ru/documents/company</w:t>
        </w:r>
      </w:hyperlink>
      <w:r>
        <w:rPr/>
        <w:t xml:space="preserve">), строгого соблюдения требований антикоррупционного законодательства Российской Федерации, а также отказа от любой деятельности, нарушающей эти требования. </w:t>
      </w:r>
    </w:p>
    <w:p>
      <w:pPr>
        <w:pStyle w:val="Normal"/>
        <w:widowControl/>
        <w:numPr>
          <w:ilvl w:val="2"/>
          <w:numId w:val="1"/>
        </w:numPr>
        <w:tabs>
          <w:tab w:val="clear" w:pos="720"/>
          <w:tab w:val="left" w:pos="851" w:leader="none"/>
        </w:tabs>
        <w:ind w:firstLine="709" w:start="0" w:end="0"/>
        <w:jc w:val="both"/>
        <w:rPr/>
      </w:pPr>
      <w:r>
        <w:rPr/>
        <w:t xml:space="preserve">Основные требования законодательства и Кодекса деловой этики поставщика </w:t>
        <w:br/>
        <w:t>ПАО «Ростелеком» в простой и понятной форме представлены в дистанционном курсе: Кодекс деловой этики для поставщиков ПАО «Ростелеком» (</w:t>
      </w:r>
      <w:hyperlink r:id="rId18">
        <w:r>
          <w:rPr>
            <w:rStyle w:val="Style4"/>
          </w:rPr>
          <w:t>https://nocorruption.rt.ru/education/tests</w:t>
        </w:r>
      </w:hyperlink>
      <w:r>
        <w:rPr/>
        <w:t>).</w:t>
      </w:r>
    </w:p>
    <w:p>
      <w:pPr>
        <w:pStyle w:val="Normal"/>
        <w:widowControl/>
        <w:numPr>
          <w:ilvl w:val="2"/>
          <w:numId w:val="1"/>
        </w:numPr>
        <w:tabs>
          <w:tab w:val="clear" w:pos="720"/>
          <w:tab w:val="left" w:pos="851" w:leader="none"/>
          <w:tab w:val="left" w:pos="1418" w:leader="none"/>
        </w:tabs>
        <w:ind w:firstLine="709" w:start="0" w:end="0"/>
        <w:jc w:val="both"/>
        <w:rPr/>
      </w:pPr>
      <w:r>
        <w:rPr/>
        <w:t>Участники закупки и иные лица могут направлять сведения о возможных фактах коррупции/злоупотреблений при проведении закупки со стороны сотрудников ПАО «Ростелеком», либо других участников закупки, одним из следующих способов:</w:t>
      </w:r>
    </w:p>
    <w:p>
      <w:pPr>
        <w:pStyle w:val="ListParagraph1"/>
        <w:widowControl/>
        <w:numPr>
          <w:ilvl w:val="0"/>
          <w:numId w:val="9"/>
        </w:numPr>
        <w:tabs>
          <w:tab w:val="clear" w:pos="720"/>
          <w:tab w:val="left" w:pos="851" w:leader="none"/>
        </w:tabs>
        <w:ind w:firstLine="709" w:start="0" w:end="0"/>
        <w:jc w:val="both"/>
        <w:rPr/>
      </w:pPr>
      <w:r>
        <w:rPr/>
        <w:t xml:space="preserve">Через форму обратной связи «Сообщить о нарушениях» на Антикоррупционном портале ПАО «Ростелеком»: </w:t>
      </w:r>
      <w:hyperlink r:id="rId19">
        <w:r>
          <w:rPr>
            <w:rStyle w:val="Style4"/>
          </w:rPr>
          <w:t>https://nocorruption.rt.ru/feedback</w:t>
        </w:r>
      </w:hyperlink>
      <w:r>
        <w:rPr/>
        <w:t xml:space="preserve"> </w:t>
      </w:r>
    </w:p>
    <w:p>
      <w:pPr>
        <w:pStyle w:val="ListParagraph1"/>
        <w:widowControl/>
        <w:numPr>
          <w:ilvl w:val="0"/>
          <w:numId w:val="9"/>
        </w:numPr>
        <w:tabs>
          <w:tab w:val="clear" w:pos="720"/>
          <w:tab w:val="left" w:pos="851" w:leader="none"/>
          <w:tab w:val="left" w:pos="1418" w:leader="none"/>
        </w:tabs>
        <w:ind w:firstLine="709" w:start="0" w:end="0"/>
        <w:jc w:val="both"/>
        <w:rPr/>
      </w:pPr>
      <w:r>
        <w:rPr/>
        <w:t>По телефону «Линии доверия» ПАО Ростелеком: 8-800-1-811-811;</w:t>
      </w:r>
    </w:p>
    <w:p>
      <w:pPr>
        <w:pStyle w:val="ListParagraph1"/>
        <w:widowControl/>
        <w:numPr>
          <w:ilvl w:val="0"/>
          <w:numId w:val="9"/>
        </w:numPr>
        <w:tabs>
          <w:tab w:val="clear" w:pos="720"/>
          <w:tab w:val="left" w:pos="851" w:leader="none"/>
          <w:tab w:val="left" w:pos="1418" w:leader="none"/>
        </w:tabs>
        <w:ind w:firstLine="709" w:start="0" w:end="0"/>
        <w:jc w:val="both"/>
        <w:rPr>
          <w:spacing w:val="-6"/>
        </w:rPr>
      </w:pPr>
      <w:r>
        <w:rPr/>
        <w:t xml:space="preserve">По электронной почте: </w:t>
      </w:r>
      <w:hyperlink r:id="rId20">
        <w:r>
          <w:rPr>
            <w:rStyle w:val="Style4"/>
          </w:rPr>
          <w:t xml:space="preserve">ethics@rt.ru </w:t>
        </w:r>
      </w:hyperlink>
    </w:p>
    <w:p>
      <w:pPr>
        <w:pStyle w:val="Normal"/>
        <w:widowControl/>
        <w:tabs>
          <w:tab w:val="clear" w:pos="720"/>
          <w:tab w:val="left" w:pos="851" w:leader="none"/>
          <w:tab w:val="left" w:pos="1276" w:leader="none"/>
        </w:tabs>
        <w:ind w:firstLine="709" w:start="0" w:end="0"/>
        <w:jc w:val="both"/>
        <w:rPr>
          <w:spacing w:val="-6"/>
        </w:rPr>
      </w:pPr>
      <w:r>
        <w:rPr>
          <w:spacing w:val="-6"/>
        </w:rPr>
      </w:r>
    </w:p>
    <w:p>
      <w:pPr>
        <w:pStyle w:val="Normal"/>
        <w:widowControl/>
        <w:tabs>
          <w:tab w:val="clear" w:pos="720"/>
          <w:tab w:val="left" w:pos="851" w:leader="none"/>
          <w:tab w:val="left" w:pos="1276" w:leader="none"/>
        </w:tabs>
        <w:ind w:firstLine="709" w:start="0" w:end="0"/>
        <w:jc w:val="both"/>
        <w:rPr>
          <w:spacing w:val="-6"/>
        </w:rPr>
      </w:pPr>
      <w:r>
        <w:rPr>
          <w:spacing w:val="-6"/>
        </w:rPr>
        <w:t>Обращение можно оставить анонимно.</w:t>
      </w:r>
    </w:p>
    <w:p>
      <w:pPr>
        <w:pStyle w:val="Normal"/>
        <w:rPr>
          <w:b/>
        </w:rPr>
      </w:pPr>
      <w:r>
        <w:rPr>
          <w:b/>
        </w:rPr>
      </w:r>
      <w:bookmarkStart w:id="103" w:name="_РАЗДЕЛ_II._ИНФОРМАЦИОННАЯ_1"/>
      <w:bookmarkStart w:id="104" w:name="_Hlk528068349_Копия_1"/>
      <w:bookmarkStart w:id="105" w:name="_Hlk528751296_Копия_1"/>
      <w:bookmarkStart w:id="106" w:name="_РАЗДЕЛ_II._ИНФОРМАЦИОННАЯ_1"/>
      <w:bookmarkStart w:id="107" w:name="_Hlk528068349_Копия_1"/>
      <w:bookmarkStart w:id="108" w:name="_Hlk528751296_Копия_1"/>
      <w:bookmarkEnd w:id="106"/>
      <w:bookmarkEnd w:id="107"/>
      <w:bookmarkEnd w:id="108"/>
      <w:r>
        <w:br w:type="page"/>
      </w:r>
    </w:p>
    <w:p>
      <w:pPr>
        <w:pStyle w:val="Heading1"/>
        <w:keepLines w:val="false"/>
        <w:widowControl/>
        <w:tabs>
          <w:tab w:val="clear" w:pos="720"/>
          <w:tab w:val="left" w:pos="6424" w:leader="none"/>
        </w:tabs>
        <w:spacing w:before="0" w:after="120"/>
        <w:ind w:hanging="360" w:start="792" w:end="0"/>
        <w:jc w:val="both"/>
        <w:rPr>
          <w:rFonts w:ascii="Times New Roman" w:hAnsi="Times New Roman"/>
          <w:color w:val="17365D"/>
        </w:rPr>
      </w:pPr>
      <w:bookmarkStart w:id="109" w:name="__RefHeading___38"/>
      <w:bookmarkEnd w:id="109"/>
      <w:r>
        <w:rPr>
          <w:rFonts w:ascii="Times New Roman" w:hAnsi="Times New Roman"/>
          <w:color w:val="17365D"/>
        </w:rPr>
        <w:t>РАЗДЕЛ II. ИНФОРМАЦИОННАЯ КАРТА</w:t>
      </w:r>
    </w:p>
    <w:tbl>
      <w:tblPr>
        <w:tblW w:w="10915" w:type="dxa"/>
        <w:jc w:val="start"/>
        <w:tblInd w:w="-572" w:type="dxa"/>
        <w:tblLayout w:type="fixed"/>
        <w:tblCellMar>
          <w:top w:w="0" w:type="dxa"/>
          <w:start w:w="108" w:type="dxa"/>
          <w:bottom w:w="0" w:type="dxa"/>
          <w:end w:w="108" w:type="dxa"/>
        </w:tblCellMar>
      </w:tblPr>
      <w:tblGrid>
        <w:gridCol w:w="530"/>
        <w:gridCol w:w="2075"/>
        <w:gridCol w:w="8310"/>
      </w:tblGrid>
      <w:tr>
        <w:trPr>
          <w:tblHeader w:val="true"/>
        </w:trPr>
        <w:tc>
          <w:tcPr>
            <w:tcW w:w="5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b/>
                <w:sz w:val="22"/>
              </w:rPr>
            </w:pPr>
            <w:bookmarkStart w:id="110" w:name="_2.1._Общие_сведения"/>
            <w:bookmarkEnd w:id="110"/>
            <w:r>
              <w:rPr>
                <w:b/>
                <w:sz w:val="22"/>
              </w:rPr>
              <w:t>№</w:t>
            </w:r>
          </w:p>
          <w:p>
            <w:pPr>
              <w:pStyle w:val="Header"/>
              <w:widowControl/>
              <w:tabs>
                <w:tab w:val="clear" w:pos="4677"/>
                <w:tab w:val="clear" w:pos="9355"/>
              </w:tabs>
              <w:jc w:val="center"/>
              <w:rPr>
                <w:b/>
                <w:sz w:val="22"/>
              </w:rPr>
            </w:pPr>
            <w:r>
              <w:rPr>
                <w:b/>
                <w:sz w:val="22"/>
              </w:rPr>
              <w:t>п/п</w:t>
            </w:r>
          </w:p>
        </w:tc>
        <w:tc>
          <w:tcPr>
            <w:tcW w:w="207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b/>
                <w:sz w:val="22"/>
              </w:rPr>
            </w:pPr>
            <w:r>
              <w:rPr>
                <w:b/>
                <w:sz w:val="22"/>
              </w:rPr>
              <w:t>Наименование п/п</w:t>
            </w:r>
          </w:p>
        </w:tc>
        <w:tc>
          <w:tcPr>
            <w:tcW w:w="831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b/>
                <w:sz w:val="22"/>
              </w:rPr>
            </w:pPr>
            <w:r>
              <w:rPr>
                <w:b/>
                <w:sz w:val="22"/>
              </w:rPr>
              <w:t>Содержание п/п</w:t>
            </w:r>
          </w:p>
        </w:tc>
      </w:tr>
      <w:tr>
        <w:trPr/>
        <w:tc>
          <w:tcPr>
            <w:tcW w:w="530" w:type="dxa"/>
            <w:tcBorders>
              <w:top w:val="single" w:sz="4" w:space="0" w:color="000000"/>
              <w:start w:val="single" w:sz="4" w:space="0" w:color="000000"/>
              <w:bottom w:val="single" w:sz="4" w:space="0" w:color="000000"/>
              <w:end w:val="single" w:sz="4" w:space="0" w:color="000000"/>
            </w:tcBorders>
          </w:tcPr>
          <w:p>
            <w:pPr>
              <w:pStyle w:val="rvps11"/>
              <w:widowControl/>
              <w:numPr>
                <w:ilvl w:val="0"/>
                <w:numId w:val="10"/>
              </w:numPr>
              <w:tabs>
                <w:tab w:val="clear" w:pos="720"/>
                <w:tab w:val="left" w:pos="0" w:leader="none"/>
              </w:tabs>
              <w:ind w:hanging="0" w:start="0" w:end="0"/>
              <w:jc w:val="start"/>
              <w:rPr>
                <w:b/>
                <w:sz w:val="22"/>
              </w:rPr>
            </w:pPr>
            <w:r>
              <w:rPr>
                <w:b/>
                <w:sz w:val="22"/>
              </w:rPr>
            </w:r>
            <w:bookmarkStart w:id="111" w:name="_Ref368314103"/>
            <w:bookmarkStart w:id="112" w:name="_Ref368314103"/>
            <w:bookmarkEnd w:id="112"/>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rvps11"/>
              <w:widowControl/>
              <w:jc w:val="start"/>
              <w:rPr>
                <w:b/>
                <w:sz w:val="22"/>
              </w:rPr>
            </w:pPr>
            <w:bookmarkStart w:id="113" w:name="_Ref55316328"/>
            <w:bookmarkStart w:id="114" w:name="_Ref368314103_Копия_1"/>
            <w:bookmarkEnd w:id="114"/>
            <w:r>
              <w:rPr>
                <w:b/>
                <w:sz w:val="22"/>
              </w:rPr>
              <w:t>Фирменное наименование, место нахождения, почтовый адрес, адрес электронной почты, номер контактного телефона Заказчика</w:t>
            </w:r>
            <w:bookmarkEnd w:id="113"/>
          </w:p>
        </w:tc>
        <w:tc>
          <w:tcPr>
            <w:tcW w:w="8310" w:type="dxa"/>
            <w:tcBorders>
              <w:top w:val="single" w:sz="4" w:space="0" w:color="000000"/>
              <w:start w:val="single" w:sz="4" w:space="0" w:color="000000"/>
              <w:bottom w:val="single" w:sz="4" w:space="0" w:color="000000"/>
              <w:end w:val="single" w:sz="4" w:space="0" w:color="000000"/>
            </w:tcBorders>
          </w:tcPr>
          <w:p>
            <w:pPr>
              <w:pStyle w:val="Default1"/>
              <w:widowControl/>
              <w:jc w:val="both"/>
              <w:rPr>
                <w:i/>
                <w:i/>
                <w:color w:val="FF0000"/>
                <w:sz w:val="22"/>
              </w:rPr>
            </w:pPr>
            <w:r>
              <w:rPr>
                <w:sz w:val="22"/>
              </w:rPr>
              <w:t>Публичное акционерное общество «Ростелеком» (ПАО «Ростелеком»).</w:t>
            </w:r>
          </w:p>
          <w:p>
            <w:pPr>
              <w:pStyle w:val="Default1"/>
              <w:widowControl/>
              <w:jc w:val="both"/>
              <w:rPr>
                <w:sz w:val="22"/>
              </w:rPr>
            </w:pPr>
            <w:r>
              <w:rPr>
                <w:sz w:val="22"/>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pPr>
              <w:pStyle w:val="Default1"/>
              <w:widowControl/>
              <w:jc w:val="both"/>
              <w:rPr>
                <w:sz w:val="22"/>
              </w:rPr>
            </w:pPr>
            <w:r>
              <w:rPr>
                <w:sz w:val="22"/>
              </w:rPr>
              <w:t>Почтовый адрес: 115172, г. Москва, ул. Гончарная, д. 30.</w:t>
            </w:r>
          </w:p>
          <w:p>
            <w:pPr>
              <w:pStyle w:val="Default1"/>
              <w:widowControl/>
              <w:jc w:val="both"/>
              <w:rPr>
                <w:sz w:val="22"/>
              </w:rPr>
            </w:pPr>
            <w:r>
              <w:rPr>
                <w:sz w:val="22"/>
              </w:rPr>
            </w:r>
          </w:p>
          <w:p>
            <w:pPr>
              <w:pStyle w:val="Normal"/>
              <w:widowControl/>
              <w:spacing w:lineRule="auto" w:line="240" w:before="0" w:after="0"/>
              <w:jc w:val="both"/>
              <w:rPr>
                <w:rFonts w:ascii="Times New Roman" w:hAnsi="Times New Roman"/>
                <w:sz w:val="22"/>
              </w:rPr>
            </w:pPr>
            <w:r>
              <w:rPr>
                <w:rFonts w:ascii="Times New Roman" w:hAnsi="Times New Roman"/>
                <w:sz w:val="22"/>
              </w:rPr>
              <w:t>Ответственное лицо Заказчика по организационным вопросам проведения закупки:</w:t>
            </w:r>
          </w:p>
          <w:p>
            <w:pPr>
              <w:pStyle w:val="Normal"/>
              <w:widowControl/>
              <w:spacing w:lineRule="auto" w:line="240" w:before="0" w:after="0"/>
              <w:rPr>
                <w:rFonts w:ascii="Times New Roman" w:hAnsi="Times New Roman"/>
                <w:sz w:val="22"/>
              </w:rPr>
            </w:pPr>
            <w:r>
              <w:rPr>
                <w:rFonts w:ascii="Times New Roman" w:hAnsi="Times New Roman"/>
                <w:sz w:val="22"/>
              </w:rPr>
              <w:t>Туманов Никита Александрович</w:t>
            </w:r>
          </w:p>
          <w:p>
            <w:pPr>
              <w:pStyle w:val="Normal"/>
              <w:widowControl/>
              <w:spacing w:before="0" w:after="0"/>
              <w:jc w:val="start"/>
              <w:rPr/>
            </w:pPr>
            <w:r>
              <w:rPr>
                <w:rFonts w:ascii="Times New Roman" w:hAnsi="Times New Roman"/>
                <w:sz w:val="22"/>
              </w:rPr>
              <w:t xml:space="preserve">тел. + 7 (958) 548-13-04, e-mail: </w:t>
            </w:r>
            <w:hyperlink r:id="rId21">
              <w:r>
                <w:rPr>
                  <w:rStyle w:val="Style4"/>
                  <w:rFonts w:ascii="Times New Roman" w:hAnsi="Times New Roman"/>
                  <w:sz w:val="22"/>
                </w:rPr>
                <w:t>n.tumanov@volga.rt.ru</w:t>
              </w:r>
            </w:hyperlink>
          </w:p>
        </w:tc>
      </w:tr>
      <w:tr>
        <w:trPr>
          <w:trHeight w:val="864" w:hRule="atLeast"/>
        </w:trPr>
        <w:tc>
          <w:tcPr>
            <w:tcW w:w="530" w:type="dxa"/>
            <w:tcBorders>
              <w:top w:val="single" w:sz="4" w:space="0" w:color="000000"/>
              <w:start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15" w:name="_Ref378108959"/>
            <w:bookmarkStart w:id="116" w:name="_Ref378108959"/>
            <w:bookmarkEnd w:id="116"/>
          </w:p>
        </w:tc>
        <w:tc>
          <w:tcPr>
            <w:tcW w:w="2075" w:type="dxa"/>
            <w:tcBorders>
              <w:top w:val="single" w:sz="4" w:space="0" w:color="000000"/>
              <w:start w:val="single" w:sz="4" w:space="0" w:color="000000"/>
              <w:end w:val="single" w:sz="4" w:space="0" w:color="000000"/>
            </w:tcBorders>
            <w:shd w:fill="auto" w:val="clear"/>
          </w:tcPr>
          <w:p>
            <w:pPr>
              <w:pStyle w:val="Normal"/>
              <w:rPr>
                <w:b/>
                <w:sz w:val="22"/>
              </w:rPr>
            </w:pPr>
            <w:r>
              <w:rPr>
                <w:b/>
                <w:sz w:val="22"/>
              </w:rPr>
              <w:t>ЭТП</w:t>
            </w:r>
          </w:p>
        </w:tc>
        <w:tc>
          <w:tcPr>
            <w:tcW w:w="8310" w:type="dxa"/>
            <w:tcBorders>
              <w:top w:val="single" w:sz="4" w:space="0" w:color="000000"/>
              <w:start w:val="single" w:sz="4" w:space="0" w:color="000000"/>
              <w:end w:val="single" w:sz="4" w:space="0" w:color="000000"/>
            </w:tcBorders>
          </w:tcPr>
          <w:p>
            <w:pPr>
              <w:pStyle w:val="Normal"/>
              <w:widowControl/>
              <w:jc w:val="both"/>
              <w:rPr>
                <w:rFonts w:ascii="Times New Roman" w:hAnsi="Times New Roman"/>
                <w:i w:val="false"/>
                <w:i w:val="false"/>
                <w:sz w:val="22"/>
              </w:rPr>
            </w:pPr>
            <w:r>
              <w:rPr>
                <w:rFonts w:ascii="Times New Roman" w:hAnsi="Times New Roman"/>
                <w:sz w:val="22"/>
              </w:rPr>
              <w:t xml:space="preserve">Закупка проводится в соответствии с правилами и с использованием функционала </w:t>
            </w:r>
            <w:r>
              <w:rPr>
                <w:rFonts w:ascii="Times New Roman" w:hAnsi="Times New Roman"/>
                <w:i w:val="false"/>
                <w:color w:val="000000"/>
                <w:sz w:val="22"/>
              </w:rPr>
              <w:t>ЭТП АО «Российский аукционный дом»</w:t>
            </w:r>
            <w:r>
              <w:rPr>
                <w:rFonts w:ascii="Times New Roman" w:hAnsi="Times New Roman"/>
                <w:i w:val="false"/>
                <w:sz w:val="22"/>
              </w:rPr>
              <w:t xml:space="preserve">, </w:t>
            </w:r>
            <w:r>
              <w:rPr>
                <w:rFonts w:ascii="Times New Roman" w:hAnsi="Times New Roman"/>
                <w:sz w:val="22"/>
              </w:rPr>
              <w:t>находящейся по адресу https://tender.lot-online.ru</w:t>
            </w:r>
          </w:p>
        </w:tc>
      </w:tr>
      <w:tr>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17" w:name="_Ref55316542"/>
            <w:bookmarkStart w:id="118" w:name="_Ref55316542"/>
            <w:bookmarkEnd w:id="118"/>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Количество лотов</w:t>
            </w:r>
          </w:p>
        </w:tc>
        <w:tc>
          <w:tcPr>
            <w:tcW w:w="8310" w:type="dxa"/>
            <w:tcBorders>
              <w:top w:val="single" w:sz="4" w:space="0" w:color="000000"/>
              <w:start w:val="single" w:sz="4" w:space="0" w:color="000000"/>
              <w:bottom w:val="single" w:sz="4" w:space="0" w:color="000000"/>
              <w:end w:val="single" w:sz="4" w:space="0" w:color="000000"/>
            </w:tcBorders>
          </w:tcPr>
          <w:p>
            <w:pPr>
              <w:pStyle w:val="Normal"/>
              <w:rPr/>
            </w:pPr>
            <w:r>
              <w:rPr>
                <w:sz w:val="22"/>
              </w:rPr>
              <w:t>1 (Один) лот</w:t>
            </w:r>
          </w:p>
          <w:p>
            <w:pPr>
              <w:pStyle w:val="Normal"/>
              <w:widowControl/>
              <w:jc w:val="both"/>
              <w:rPr>
                <w:sz w:val="22"/>
              </w:rPr>
            </w:pPr>
            <w:r>
              <w:rPr>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19" w:name="_Ref55316833"/>
            <w:bookmarkStart w:id="120" w:name="_Ref55316833"/>
            <w:bookmarkEnd w:id="120"/>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Количество участников, которые могут быть признаны победителями закупки</w:t>
            </w:r>
          </w:p>
        </w:tc>
        <w:tc>
          <w:tcPr>
            <w:tcW w:w="8310" w:type="dxa"/>
            <w:tcBorders>
              <w:top w:val="single" w:sz="4" w:space="0" w:color="000000"/>
              <w:start w:val="single" w:sz="4" w:space="0" w:color="000000"/>
              <w:bottom w:val="single" w:sz="4" w:space="0" w:color="000000"/>
              <w:end w:val="single" w:sz="4" w:space="0" w:color="000000"/>
            </w:tcBorders>
          </w:tcPr>
          <w:p>
            <w:pPr>
              <w:pStyle w:val="Default1"/>
              <w:widowControl/>
              <w:jc w:val="both"/>
              <w:rPr>
                <w:b/>
                <w:sz w:val="22"/>
              </w:rPr>
            </w:pPr>
            <w:r>
              <w:rPr>
                <w:b/>
                <w:sz w:val="22"/>
              </w:rPr>
              <w:t>Лот № 1</w:t>
            </w:r>
          </w:p>
          <w:p>
            <w:pPr>
              <w:pStyle w:val="Normal"/>
              <w:widowControl/>
              <w:jc w:val="both"/>
              <w:rPr>
                <w:i/>
                <w:i/>
                <w:color w:val="FF0000"/>
                <w:sz w:val="22"/>
              </w:rPr>
            </w:pPr>
            <w:r>
              <w:rPr>
                <w:sz w:val="22"/>
              </w:rPr>
              <w:t>1 (один) победитель</w:t>
            </w:r>
          </w:p>
        </w:tc>
      </w:tr>
      <w:tr>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21" w:name="_Ref55316657"/>
            <w:bookmarkStart w:id="122" w:name="_Ref55316657"/>
            <w:bookmarkEnd w:id="122"/>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Наименование предмета закупки</w:t>
            </w:r>
          </w:p>
          <w:p>
            <w:pPr>
              <w:pStyle w:val="Normal"/>
              <w:rPr>
                <w:b/>
                <w:sz w:val="22"/>
              </w:rPr>
            </w:pPr>
            <w:r>
              <w:rPr>
                <w:b/>
                <w:sz w:val="22"/>
              </w:rPr>
            </w:r>
          </w:p>
        </w:tc>
        <w:tc>
          <w:tcPr>
            <w:tcW w:w="8310" w:type="dxa"/>
            <w:tcBorders>
              <w:top w:val="single" w:sz="4" w:space="0" w:color="000000"/>
              <w:start w:val="single" w:sz="4" w:space="0" w:color="000000"/>
              <w:bottom w:val="single" w:sz="4" w:space="0" w:color="000000"/>
              <w:end w:val="single" w:sz="4" w:space="0" w:color="000000"/>
            </w:tcBorders>
          </w:tcPr>
          <w:p>
            <w:pPr>
              <w:pStyle w:val="Default1"/>
              <w:widowControl/>
              <w:jc w:val="both"/>
              <w:rPr>
                <w:b/>
                <w:sz w:val="22"/>
              </w:rPr>
            </w:pPr>
            <w:r>
              <w:rPr>
                <w:b/>
                <w:sz w:val="22"/>
              </w:rPr>
              <w:t>Лот № 1</w:t>
            </w:r>
          </w:p>
          <w:p>
            <w:pPr>
              <w:pStyle w:val="Normal"/>
              <w:widowControl/>
              <w:jc w:val="start"/>
              <w:rPr>
                <w:rFonts w:ascii="XO Thames" w:hAnsi="XO Thames"/>
              </w:rPr>
            </w:pPr>
            <w:r>
              <w:rPr>
                <w:b w:val="false"/>
                <w:i w:val="false"/>
                <w:strike w:val="false"/>
                <w:dstrike w:val="false"/>
                <w:shadow w:val="false"/>
                <w:color w:val="000000"/>
                <w:sz w:val="22"/>
                <w:u w:val="none"/>
              </w:rPr>
              <w:t>Предоставление права использования программного обеспечения «ДОРИС Контроль»</w:t>
            </w:r>
          </w:p>
          <w:p>
            <w:pPr>
              <w:pStyle w:val="Normal"/>
              <w:widowControl/>
              <w:jc w:val="both"/>
              <w:rPr>
                <w:sz w:val="22"/>
              </w:rPr>
            </w:pPr>
            <w:r>
              <w:rPr>
                <w:sz w:val="22"/>
              </w:rPr>
            </w:r>
          </w:p>
          <w:p>
            <w:pPr>
              <w:pStyle w:val="Normal"/>
              <w:widowControl/>
              <w:jc w:val="both"/>
              <w:rPr>
                <w:sz w:val="22"/>
              </w:rPr>
            </w:pPr>
            <w:r>
              <w:rPr>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23" w:name="_Ref55316445"/>
            <w:bookmarkStart w:id="124" w:name="_Ref55316445"/>
            <w:bookmarkEnd w:id="124"/>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b/>
                <w:sz w:val="22"/>
              </w:rPr>
            </w:pPr>
            <w:r>
              <w:rPr>
                <w:b/>
                <w:sz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8310" w:type="dxa"/>
            <w:tcBorders>
              <w:top w:val="single" w:sz="4" w:space="0" w:color="000000"/>
              <w:start w:val="single" w:sz="4" w:space="0" w:color="000000"/>
              <w:bottom w:val="single" w:sz="4" w:space="0" w:color="000000"/>
              <w:end w:val="single" w:sz="4" w:space="0" w:color="000000"/>
            </w:tcBorders>
          </w:tcPr>
          <w:p>
            <w:pPr>
              <w:pStyle w:val="Default1"/>
              <w:widowControl/>
              <w:jc w:val="both"/>
              <w:rPr>
                <w:b/>
                <w:sz w:val="22"/>
              </w:rPr>
            </w:pPr>
            <w:r>
              <w:rPr>
                <w:b/>
                <w:sz w:val="22"/>
              </w:rPr>
              <w:t>Лот № 1</w:t>
            </w:r>
          </w:p>
          <w:p>
            <w:pPr>
              <w:pStyle w:val="Default1"/>
              <w:widowControl/>
              <w:jc w:val="both"/>
              <w:rPr>
                <w:b/>
                <w:sz w:val="22"/>
              </w:rPr>
            </w:pPr>
            <w:r>
              <w:rPr>
                <w:b/>
                <w:sz w:val="22"/>
              </w:rPr>
            </w:r>
          </w:p>
          <w:p>
            <w:pPr>
              <w:pStyle w:val="Default1"/>
              <w:widowControl/>
              <w:jc w:val="both"/>
              <w:rPr>
                <w:sz w:val="22"/>
              </w:rPr>
            </w:pPr>
            <w:r>
              <w:rPr>
                <w:b/>
                <w:sz w:val="22"/>
              </w:rPr>
              <w:t xml:space="preserve">Начальная (максимальная) цена договора: </w:t>
            </w:r>
            <w:r>
              <w:rPr>
                <w:b w:val="false"/>
                <w:i w:val="false"/>
                <w:strike w:val="false"/>
                <w:dstrike w:val="false"/>
                <w:shadow w:val="false"/>
                <w:sz w:val="20"/>
                <w:u w:val="none"/>
              </w:rPr>
              <w:t xml:space="preserve">98 500 000,00 (Девяносто восемь миллионов пятьсот тысяч) рублей 00 копеек,  </w:t>
            </w:r>
            <w:r>
              <w:rPr>
                <w:rFonts w:ascii="XO Thames" w:hAnsi="XO Thames"/>
                <w:b w:val="false"/>
                <w:i w:val="false"/>
                <w:strike w:val="false"/>
                <w:dstrike w:val="false"/>
                <w:shadow w:val="false"/>
                <w:sz w:val="22"/>
                <w:u w:val="none"/>
              </w:rPr>
              <w:t xml:space="preserve">НДС не облагается в соответствии с подпунктом 26 пункта 2 статьи 149 Налогового Кодекса Российской Федерации (ПО зарегистрировано в Едином реестре российских программ для электронных вычислительных машин и баз данных (далее – Реестр) за номером </w:t>
            </w:r>
            <w:r>
              <w:rPr>
                <w:rFonts w:ascii="XO Thames" w:hAnsi="XO Thames"/>
                <w:b w:val="false"/>
                <w:i w:val="false"/>
                <w:strike w:val="false"/>
                <w:dstrike w:val="false"/>
                <w:shadow w:val="false"/>
                <w:color w:val="000000"/>
                <w:sz w:val="22"/>
                <w:u w:val="none"/>
              </w:rPr>
              <w:t>12412</w:t>
            </w:r>
          </w:p>
          <w:p>
            <w:pPr>
              <w:pStyle w:val="Default1"/>
              <w:widowControl/>
              <w:jc w:val="both"/>
              <w:rPr>
                <w:sz w:val="22"/>
              </w:rPr>
            </w:pPr>
            <w:r>
              <w:rPr>
                <w:sz w:val="22"/>
              </w:rPr>
              <w:t>.</w:t>
            </w:r>
          </w:p>
          <w:p>
            <w:pPr>
              <w:pStyle w:val="Default1"/>
              <w:widowControl/>
              <w:jc w:val="both"/>
              <w:rPr>
                <w:sz w:val="22"/>
              </w:rPr>
            </w:pPr>
            <w:r>
              <w:rPr>
                <w:sz w:val="22"/>
              </w:rPr>
            </w:r>
          </w:p>
          <w:p>
            <w:pPr>
              <w:pStyle w:val="Default1"/>
              <w:widowControl/>
              <w:jc w:val="both"/>
              <w:rPr>
                <w:sz w:val="22"/>
              </w:rPr>
            </w:pPr>
            <w:r>
              <w:rPr>
                <w:b/>
                <w:sz w:val="22"/>
              </w:rPr>
              <w:t xml:space="preserve">Начальная (максимальная) цена единицы продукции: </w:t>
            </w:r>
            <w:r>
              <w:rPr>
                <w:sz w:val="22"/>
              </w:rPr>
              <w:t xml:space="preserve">Начальные (максимальные) цены единиц товаров, работ, услуг указаны в </w:t>
            </w:r>
            <w:hyperlink w:anchor="_Форма_3_ТЕХНИКО-КОММЕРЧЕСКОЕ">
              <w:r>
                <w:rPr>
                  <w:rStyle w:val="Style4"/>
                  <w:sz w:val="22"/>
                </w:rPr>
                <w:t>Форме 2 раздела III «ФОРМЫ ДЛЯ ЗАПОЛНЕНИЯ УЧАСТНИКАМИ ЗАКУПКИ»</w:t>
              </w:r>
            </w:hyperlink>
            <w:r>
              <w:rPr>
                <w:sz w:val="22"/>
              </w:rPr>
              <w:t>.</w:t>
            </w:r>
          </w:p>
          <w:p>
            <w:pPr>
              <w:pStyle w:val="Default1"/>
              <w:widowControl/>
              <w:jc w:val="both"/>
              <w:rPr>
                <w:sz w:val="22"/>
              </w:rPr>
            </w:pPr>
            <w:r>
              <w:rPr>
                <w:sz w:val="22"/>
              </w:rPr>
            </w:r>
          </w:p>
          <w:p>
            <w:pPr>
              <w:pStyle w:val="Default1"/>
              <w:widowControl/>
              <w:jc w:val="both"/>
              <w:rPr>
                <w:b/>
                <w:sz w:val="22"/>
              </w:rPr>
            </w:pPr>
            <w:r>
              <w:rPr>
                <w:b/>
                <w:sz w:val="22"/>
              </w:rPr>
              <w:t xml:space="preserve">Порядок формирования начальной (максимальной) цены договора/единицы продукции: </w:t>
            </w:r>
            <w:r>
              <w:rPr>
                <w:sz w:val="22"/>
              </w:rPr>
              <w:t>начальная (максимальная) цена договора/единицы продукции сформирована с учетом всех расходов, в том числе расходов на перевозку, страхование, уплату таможенных пошлин, налогов и других обязательных платежей.</w:t>
            </w:r>
          </w:p>
          <w:p>
            <w:pPr>
              <w:pStyle w:val="Normal"/>
              <w:keepNext w:val="true"/>
              <w:keepLines/>
              <w:widowControl/>
              <w:jc w:val="both"/>
              <w:rPr>
                <w:sz w:val="22"/>
              </w:rPr>
            </w:pPr>
            <w:r>
              <w:rPr>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25" w:name="_Ref55319739"/>
            <w:bookmarkStart w:id="126" w:name="_Ref55319739"/>
            <w:bookmarkEnd w:id="126"/>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keepNext w:val="true"/>
              <w:keepLines/>
              <w:widowControl/>
              <w:rPr>
                <w:b/>
                <w:sz w:val="22"/>
              </w:rPr>
            </w:pPr>
            <w:r>
              <w:rPr>
                <w:b/>
                <w:sz w:val="22"/>
              </w:rPr>
              <w:t>Обеспечение заявки</w:t>
            </w:r>
          </w:p>
        </w:tc>
        <w:tc>
          <w:tcPr>
            <w:tcW w:w="8310" w:type="dxa"/>
            <w:tcBorders>
              <w:top w:val="single" w:sz="4" w:space="0" w:color="000000"/>
              <w:start w:val="single" w:sz="4" w:space="0" w:color="000000"/>
              <w:bottom w:val="single" w:sz="4" w:space="0" w:color="000000"/>
              <w:end w:val="single" w:sz="4" w:space="0" w:color="000000"/>
            </w:tcBorders>
          </w:tcPr>
          <w:p>
            <w:pPr>
              <w:pStyle w:val="Default1"/>
              <w:widowControl/>
              <w:jc w:val="both"/>
              <w:rPr>
                <w:b/>
                <w:sz w:val="22"/>
              </w:rPr>
            </w:pPr>
            <w:r>
              <w:rPr>
                <w:b/>
                <w:sz w:val="22"/>
              </w:rPr>
              <w:t>Лот № 1</w:t>
            </w:r>
          </w:p>
          <w:p>
            <w:pPr>
              <w:pStyle w:val="Normal"/>
              <w:keepNext w:val="true"/>
              <w:keepLines/>
              <w:widowControl/>
              <w:jc w:val="both"/>
              <w:rPr>
                <w:sz w:val="22"/>
              </w:rPr>
            </w:pPr>
            <w:r>
              <w:rPr>
                <w:sz w:val="22"/>
              </w:rPr>
              <w:t>Не требуется</w:t>
            </w:r>
          </w:p>
          <w:p>
            <w:pPr>
              <w:pStyle w:val="Normal"/>
              <w:keepNext w:val="true"/>
              <w:keepLines/>
              <w:widowControl/>
              <w:jc w:val="both"/>
              <w:rPr>
                <w:i/>
                <w:i/>
                <w:color w:val="FF0000"/>
                <w:sz w:val="22"/>
              </w:rPr>
            </w:pPr>
            <w:r>
              <w:rPr>
                <w:i/>
                <w:color w:val="FF0000"/>
                <w:sz w:val="22"/>
              </w:rPr>
            </w:r>
          </w:p>
          <w:p>
            <w:pPr>
              <w:pStyle w:val="Normal"/>
              <w:keepNext w:val="true"/>
              <w:keepLines/>
              <w:widowControl/>
              <w:jc w:val="both"/>
              <w:rPr>
                <w:sz w:val="22"/>
              </w:rPr>
            </w:pPr>
            <w:r>
              <w:rPr>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27" w:name="_Ref55321385"/>
            <w:bookmarkStart w:id="128" w:name="_Ref55321385"/>
            <w:bookmarkEnd w:id="128"/>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keepNext w:val="true"/>
              <w:keepLines/>
              <w:widowControl/>
              <w:rPr>
                <w:b/>
                <w:sz w:val="22"/>
              </w:rPr>
            </w:pPr>
            <w:r>
              <w:rPr>
                <w:b/>
                <w:sz w:val="22"/>
              </w:rPr>
              <w:t>Обеспечение исполнения договора</w:t>
            </w:r>
          </w:p>
        </w:tc>
        <w:tc>
          <w:tcPr>
            <w:tcW w:w="8310" w:type="dxa"/>
            <w:tcBorders>
              <w:top w:val="single" w:sz="4" w:space="0" w:color="000000"/>
              <w:start w:val="single" w:sz="4" w:space="0" w:color="000000"/>
              <w:bottom w:val="single" w:sz="4" w:space="0" w:color="000000"/>
              <w:end w:val="single" w:sz="4" w:space="0" w:color="000000"/>
            </w:tcBorders>
          </w:tcPr>
          <w:p>
            <w:pPr>
              <w:pStyle w:val="Default1"/>
              <w:widowControl/>
              <w:jc w:val="both"/>
              <w:rPr>
                <w:b/>
                <w:sz w:val="22"/>
              </w:rPr>
            </w:pPr>
            <w:r>
              <w:rPr>
                <w:b/>
                <w:sz w:val="22"/>
              </w:rPr>
              <w:t>Лот № 1</w:t>
            </w:r>
          </w:p>
          <w:p>
            <w:pPr>
              <w:pStyle w:val="Normal"/>
              <w:widowControl/>
              <w:jc w:val="both"/>
              <w:rPr>
                <w:i/>
                <w:i/>
                <w:sz w:val="22"/>
              </w:rPr>
            </w:pPr>
            <w:r>
              <w:rPr>
                <w:sz w:val="22"/>
              </w:rPr>
              <w:t>Требуется</w:t>
            </w:r>
          </w:p>
          <w:p>
            <w:pPr>
              <w:pStyle w:val="Normal"/>
              <w:widowControl/>
              <w:jc w:val="both"/>
              <w:rPr>
                <w:i/>
                <w:i/>
                <w:sz w:val="22"/>
              </w:rPr>
            </w:pPr>
            <w:r>
              <w:rPr>
                <w:i/>
                <w:sz w:val="22"/>
              </w:rPr>
            </w:r>
          </w:p>
          <w:p>
            <w:pPr>
              <w:pStyle w:val="Normal"/>
              <w:widowControl/>
              <w:jc w:val="both"/>
              <w:rPr>
                <w:spacing w:val="-6"/>
                <w:sz w:val="22"/>
              </w:rPr>
            </w:pPr>
            <w:r>
              <w:rPr>
                <w:spacing w:val="-6"/>
                <w:sz w:val="22"/>
              </w:rPr>
              <w:t>Вид обеспечения:</w:t>
            </w:r>
          </w:p>
          <w:p>
            <w:pPr>
              <w:pStyle w:val="Normal"/>
              <w:widowControl/>
              <w:jc w:val="both"/>
              <w:rPr>
                <w:color w:val="FF0000"/>
                <w:spacing w:val="-6"/>
                <w:sz w:val="22"/>
              </w:rPr>
            </w:pPr>
            <w:r>
              <w:rPr>
                <w:color w:val="FF0000"/>
                <w:spacing w:val="-6"/>
                <w:sz w:val="22"/>
              </w:rPr>
            </w:r>
          </w:p>
          <w:p>
            <w:pPr>
              <w:pStyle w:val="Normal"/>
              <w:widowControl/>
              <w:jc w:val="both"/>
              <w:rPr>
                <w:color w:val="000000"/>
              </w:rPr>
            </w:pPr>
            <w:r>
              <w:rPr>
                <w:color w:val="000000"/>
                <w:spacing w:val="-6"/>
                <w:sz w:val="22"/>
              </w:rPr>
              <w:t>1. обеспечение исполнения заказа на поставку товаров, выполнение работ, оказание услуг</w:t>
            </w:r>
          </w:p>
          <w:p>
            <w:pPr>
              <w:pStyle w:val="Normal"/>
              <w:widowControl/>
              <w:jc w:val="both"/>
              <w:rPr>
                <w:i/>
                <w:i/>
                <w:color w:val="FF0000"/>
                <w:sz w:val="22"/>
              </w:rPr>
            </w:pPr>
            <w:r>
              <w:rPr>
                <w:i/>
                <w:color w:val="FF0000"/>
                <w:sz w:val="22"/>
              </w:rPr>
            </w:r>
          </w:p>
          <w:p>
            <w:pPr>
              <w:pStyle w:val="Normal"/>
              <w:widowControl/>
              <w:jc w:val="both"/>
              <w:rPr/>
            </w:pPr>
            <w:r>
              <w:rPr>
                <w:i w:val="false"/>
                <w:color w:val="000000"/>
                <w:sz w:val="22"/>
              </w:rPr>
              <w:t>Размер обеспечения: в соответствие с пунктом 6.9. раздела V. «ПРОЕКТ ДОГОВОРА» документации Размер обеспечения обязательств по Заявке в соответствии с разделом 8 Общих Условий исполнения Договора устанавливается Сторонами в Заявке.</w:t>
            </w:r>
          </w:p>
          <w:p>
            <w:pPr>
              <w:pStyle w:val="Normal"/>
              <w:rPr>
                <w:sz w:val="22"/>
              </w:rPr>
            </w:pPr>
            <w:r>
              <w:rPr>
                <w:sz w:val="22"/>
              </w:rPr>
            </w:r>
          </w:p>
          <w:p>
            <w:pPr>
              <w:pStyle w:val="Normal"/>
              <w:rPr>
                <w:sz w:val="22"/>
              </w:rPr>
            </w:pPr>
            <w:r>
              <w:rPr>
                <w:sz w:val="22"/>
              </w:rPr>
              <w:t>Валюта обеспечения: Российский рубль.</w:t>
            </w:r>
          </w:p>
          <w:p>
            <w:pPr>
              <w:pStyle w:val="Normal"/>
              <w:widowControl/>
              <w:jc w:val="both"/>
              <w:rPr>
                <w:sz w:val="22"/>
              </w:rPr>
            </w:pPr>
            <w:r>
              <w:rPr>
                <w:sz w:val="22"/>
              </w:rPr>
            </w:r>
          </w:p>
          <w:p>
            <w:pPr>
              <w:pStyle w:val="Normal"/>
              <w:widowControl/>
              <w:jc w:val="both"/>
              <w:rPr>
                <w:sz w:val="22"/>
              </w:rPr>
            </w:pPr>
            <w:r>
              <w:rPr>
                <w:sz w:val="22"/>
              </w:rPr>
              <w:t>Допустимая форма обеспечения:</w:t>
            </w:r>
          </w:p>
          <w:p>
            <w:pPr>
              <w:pStyle w:val="Normal"/>
              <w:widowControl/>
              <w:jc w:val="both"/>
              <w:rPr>
                <w:color w:val="000000"/>
              </w:rPr>
            </w:pPr>
            <w:r>
              <w:rPr>
                <w:color w:val="000000"/>
                <w:sz w:val="22"/>
              </w:rPr>
              <w:t>1. денежные средства;</w:t>
            </w:r>
          </w:p>
          <w:p>
            <w:pPr>
              <w:pStyle w:val="Normal"/>
              <w:widowControl/>
              <w:jc w:val="both"/>
              <w:rPr>
                <w:color w:val="000000"/>
              </w:rPr>
            </w:pPr>
            <w:r>
              <w:rPr>
                <w:i/>
                <w:color w:val="000000"/>
                <w:sz w:val="22"/>
              </w:rPr>
              <w:t>и/или</w:t>
            </w:r>
          </w:p>
          <w:p>
            <w:pPr>
              <w:pStyle w:val="Normal"/>
              <w:widowControl/>
              <w:jc w:val="both"/>
              <w:rPr>
                <w:color w:val="000000"/>
              </w:rPr>
            </w:pPr>
            <w:r>
              <w:rPr>
                <w:color w:val="000000"/>
                <w:sz w:val="22"/>
              </w:rPr>
              <w:t>2. банковская гарантия.</w:t>
            </w:r>
          </w:p>
          <w:p>
            <w:pPr>
              <w:pStyle w:val="Normal"/>
              <w:rPr>
                <w:sz w:val="22"/>
              </w:rPr>
            </w:pPr>
            <w:r>
              <w:rPr>
                <w:sz w:val="22"/>
              </w:rPr>
              <w:t xml:space="preserve">Предоставляемая банковская гарантия оформляется в соответствии с </w:t>
            </w:r>
            <w:hyperlink w:anchor="_Приложение_№_2">
              <w:r>
                <w:rPr>
                  <w:rStyle w:val="Style4"/>
                  <w:sz w:val="22"/>
                </w:rPr>
                <w:t>Приложением № 2</w:t>
              </w:r>
            </w:hyperlink>
            <w:r>
              <w:rPr>
                <w:sz w:val="22"/>
              </w:rPr>
              <w:t xml:space="preserve"> к документации.</w:t>
            </w:r>
          </w:p>
          <w:p>
            <w:pPr>
              <w:pStyle w:val="Normal"/>
              <w:rPr>
                <w:sz w:val="22"/>
              </w:rPr>
            </w:pPr>
            <w:r>
              <w:rPr>
                <w:sz w:val="22"/>
              </w:rPr>
              <w:t>Срок предоставления обеспечения :</w:t>
            </w:r>
          </w:p>
          <w:p>
            <w:pPr>
              <w:pStyle w:val="Normal"/>
              <w:rPr>
                <w:sz w:val="22"/>
              </w:rPr>
            </w:pPr>
            <w:r>
              <w:rPr>
                <w:sz w:val="22"/>
              </w:rPr>
              <w:t>1.</w:t>
              <w:tab/>
              <w:t>до подписания соответствующего заказа .</w:t>
            </w:r>
          </w:p>
          <w:p>
            <w:pPr>
              <w:pStyle w:val="Normal"/>
              <w:rPr>
                <w:sz w:val="22"/>
              </w:rPr>
            </w:pPr>
            <w:r>
              <w:rPr>
                <w:sz w:val="22"/>
              </w:rPr>
            </w:r>
          </w:p>
          <w:p>
            <w:pPr>
              <w:pStyle w:val="Normal"/>
              <w:keepNext w:val="true"/>
              <w:keepLines/>
              <w:widowControl/>
              <w:jc w:val="both"/>
              <w:rPr>
                <w:i/>
                <w:i/>
                <w:color w:val="FF0000"/>
                <w:sz w:val="22"/>
              </w:rPr>
            </w:pPr>
            <w:r>
              <w:rPr>
                <w:sz w:val="22"/>
              </w:rPr>
              <w:t xml:space="preserve">Реквизиты для перечисления участником денежных средств в качестве обеспечения исполнения договора/заказа указаны в пункте </w:t>
            </w:r>
            <w:r>
              <w:rPr>
                <w:i w:val="false"/>
                <w:color w:val="000000"/>
                <w:sz w:val="22"/>
              </w:rPr>
              <w:t>6.9.1.</w:t>
            </w:r>
            <w:r>
              <w:rPr>
                <w:sz w:val="22"/>
              </w:rPr>
              <w:t xml:space="preserve"> раздела V. «ПРОЕКТ ДОГОВОРА» документации.</w:t>
            </w:r>
          </w:p>
        </w:tc>
      </w:tr>
      <w:tr>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29" w:name="_Ref55317941"/>
            <w:bookmarkStart w:id="130" w:name="_Ref55317941"/>
            <w:bookmarkEnd w:id="130"/>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Валюта закупки</w:t>
            </w:r>
          </w:p>
        </w:tc>
        <w:tc>
          <w:tcPr>
            <w:tcW w:w="8310" w:type="dxa"/>
            <w:tcBorders>
              <w:top w:val="single" w:sz="4" w:space="0" w:color="000000"/>
              <w:start w:val="single" w:sz="4" w:space="0" w:color="000000"/>
              <w:bottom w:val="single" w:sz="4" w:space="0" w:color="000000"/>
              <w:end w:val="single" w:sz="4" w:space="0" w:color="000000"/>
            </w:tcBorders>
          </w:tcPr>
          <w:p>
            <w:pPr>
              <w:pStyle w:val="Normal"/>
              <w:widowControl/>
              <w:jc w:val="both"/>
              <w:rPr>
                <w:sz w:val="22"/>
              </w:rPr>
            </w:pPr>
            <w:r>
              <w:rPr>
                <w:sz w:val="22"/>
              </w:rPr>
              <w:t>Российский рубль</w:t>
            </w:r>
          </w:p>
        </w:tc>
      </w:tr>
      <w:tr>
        <w:trPr>
          <w:trHeight w:val="856" w:hRule="atLeast"/>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31" w:name="_Ref55317066"/>
            <w:bookmarkStart w:id="132" w:name="_Ref55317066"/>
            <w:bookmarkEnd w:id="132"/>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Требования к участнику, а также к документам, которые должны быть приложены в составе заявки, подтверждающим данные требования</w:t>
            </w:r>
          </w:p>
        </w:tc>
        <w:tc>
          <w:tcPr>
            <w:tcW w:w="8310" w:type="dxa"/>
            <w:tcBorders>
              <w:top w:val="single" w:sz="4" w:space="0" w:color="000000"/>
              <w:start w:val="single" w:sz="4" w:space="0" w:color="000000"/>
              <w:bottom w:val="single" w:sz="4" w:space="0" w:color="000000"/>
              <w:end w:val="single" w:sz="4" w:space="0" w:color="000000"/>
            </w:tcBorders>
          </w:tcPr>
          <w:p>
            <w:pPr>
              <w:pStyle w:val="Default1"/>
              <w:widowControl/>
              <w:jc w:val="both"/>
              <w:rPr>
                <w:b/>
                <w:sz w:val="22"/>
              </w:rPr>
            </w:pPr>
            <w:r>
              <w:rPr>
                <w:b/>
                <w:sz w:val="22"/>
              </w:rPr>
              <w:t>Лот № 1</w:t>
            </w:r>
          </w:p>
          <w:p>
            <w:pPr>
              <w:pStyle w:val="Default1"/>
              <w:widowControl/>
              <w:jc w:val="both"/>
              <w:rPr>
                <w:b/>
                <w:sz w:val="22"/>
              </w:rPr>
            </w:pPr>
            <w:r>
              <w:rPr>
                <w:b/>
                <w:sz w:val="22"/>
              </w:rPr>
            </w:r>
          </w:p>
          <w:p>
            <w:pPr>
              <w:pStyle w:val="Normal"/>
              <w:widowControl/>
              <w:jc w:val="both"/>
              <w:rPr>
                <w:b/>
                <w:sz w:val="22"/>
              </w:rPr>
            </w:pPr>
            <w:r>
              <w:rPr>
                <w:b/>
                <w:sz w:val="22"/>
              </w:rPr>
              <w:t>Общие требования:</w:t>
            </w:r>
          </w:p>
          <w:tbl>
            <w:tblPr>
              <w:tblW w:w="8083" w:type="dxa"/>
              <w:jc w:val="start"/>
              <w:tblInd w:w="0" w:type="dxa"/>
              <w:tblLayout w:type="fixed"/>
              <w:tblCellMar>
                <w:top w:w="0" w:type="dxa"/>
                <w:start w:w="108" w:type="dxa"/>
                <w:bottom w:w="0" w:type="dxa"/>
                <w:end w:w="108" w:type="dxa"/>
              </w:tblCellMar>
            </w:tblPr>
            <w:tblGrid>
              <w:gridCol w:w="4027"/>
              <w:gridCol w:w="4055"/>
            </w:tblGrid>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center"/>
                    <w:rPr>
                      <w:b/>
                      <w:color w:val="000000"/>
                      <w:sz w:val="22"/>
                    </w:rPr>
                  </w:pPr>
                  <w:r>
                    <w:rPr>
                      <w:b/>
                      <w:color w:val="000000"/>
                      <w:sz w:val="22"/>
                    </w:rPr>
                    <w:t>Наименование требования</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center"/>
                    <w:rPr>
                      <w:b/>
                      <w:color w:val="000000"/>
                      <w:sz w:val="22"/>
                    </w:rPr>
                  </w:pPr>
                  <w:r>
                    <w:rPr>
                      <w:b/>
                      <w:color w:val="000000"/>
                      <w:sz w:val="22"/>
                    </w:rPr>
                    <w:t>Подтверждающие документы</w:t>
                  </w:r>
                </w:p>
              </w:tc>
            </w:tr>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b w:val="false"/>
                      <w:i w:val="false"/>
                      <w:i w:val="false"/>
                      <w:color w:val="000000"/>
                    </w:rPr>
                  </w:pPr>
                  <w:r>
                    <w:rPr>
                      <w:b w:val="false"/>
                      <w:i w:val="false"/>
                      <w:color w:val="000000"/>
                      <w:sz w:val="22"/>
                    </w:rPr>
                    <w:t>Специальных документов не требуется.</w:t>
                  </w:r>
                </w:p>
                <w:p>
                  <w:pPr>
                    <w:pStyle w:val="Normal"/>
                    <w:widowControl/>
                    <w:jc w:val="both"/>
                    <w:rPr>
                      <w:b/>
                      <w:color w:val="000000"/>
                      <w:sz w:val="22"/>
                    </w:rPr>
                  </w:pPr>
                  <w:r>
                    <w:rPr>
                      <w:b/>
                      <w:color w:val="000000"/>
                      <w:sz w:val="22"/>
                    </w:rPr>
                  </w:r>
                </w:p>
              </w:tc>
            </w:tr>
            <w:tr>
              <w:trPr/>
              <w:tc>
                <w:tcPr>
                  <w:tcW w:w="4027" w:type="dxa"/>
                  <w:vMerge w:val="restart"/>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sz w:val="22"/>
                    </w:rPr>
                  </w:pPr>
                  <w:r>
                    <w:rPr>
                      <w:color w:val="000000"/>
                      <w:sz w:val="22"/>
                    </w:rPr>
                    <w:t>2. Участник должен обладать гражданской правоспособностью и дееспособностью в полном объеме для заключения и исполнения договора по результатам закупки</w:t>
                  </w:r>
                </w:p>
                <w:p>
                  <w:pPr>
                    <w:pStyle w:val="Normal"/>
                    <w:widowControl/>
                    <w:ind w:hanging="0" w:start="0" w:end="153"/>
                    <w:jc w:val="both"/>
                    <w:rPr>
                      <w:sz w:val="22"/>
                    </w:rPr>
                  </w:pPr>
                  <w:r>
                    <w:rPr>
                      <w:sz w:val="22"/>
                    </w:rPr>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sz w:val="22"/>
                    </w:rPr>
                    <w:t>Учредительные документы участника закупки (для юридических лиц) или основной</w:t>
                  </w:r>
                  <w:r>
                    <w:rPr>
                      <w:color w:val="000000"/>
                      <w:sz w:val="22"/>
                    </w:rPr>
                    <w:t xml:space="preserve"> документ, удостоверяющий личность (для физических лиц и индивидуальных предпринимателей).</w:t>
                  </w:r>
                </w:p>
              </w:tc>
            </w:tr>
            <w:tr>
              <w:trPr/>
              <w:tc>
                <w:tcPr>
                  <w:tcW w:w="4027" w:type="dxa"/>
                  <w:vMerge w:val="continue"/>
                  <w:tcBorders>
                    <w:top w:val="single" w:sz="4" w:space="0" w:color="000000"/>
                    <w:start w:val="single" w:sz="4" w:space="0" w:color="000000"/>
                    <w:bottom w:val="single" w:sz="4" w:space="0" w:color="000000"/>
                    <w:end w:val="single" w:sz="4" w:space="0" w:color="000000"/>
                  </w:tcBorders>
                  <w:shd w:fill="auto" w:val="clear"/>
                </w:tcPr>
                <w:p>
                  <w:pPr>
                    <w:pStyle w:val="Normal"/>
                    <w:rPr/>
                  </w:pPr>
                  <w:r>
                    <w:rPr/>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sz w:val="22"/>
                    </w:rPr>
                  </w:pPr>
                  <w:r>
                    <w:rPr>
                      <w:sz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trPr/>
              <w:tc>
                <w:tcPr>
                  <w:tcW w:w="4027" w:type="dxa"/>
                  <w:vMerge w:val="continue"/>
                  <w:tcBorders>
                    <w:top w:val="single" w:sz="4" w:space="0" w:color="000000"/>
                    <w:start w:val="single" w:sz="4" w:space="0" w:color="000000"/>
                    <w:bottom w:val="single" w:sz="4" w:space="0" w:color="000000"/>
                    <w:end w:val="single" w:sz="4" w:space="0" w:color="000000"/>
                  </w:tcBorders>
                  <w:shd w:fill="auto" w:val="clear"/>
                </w:tcPr>
                <w:p>
                  <w:pPr>
                    <w:pStyle w:val="Normal"/>
                    <w:rPr/>
                  </w:pPr>
                  <w:r>
                    <w:rPr/>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sz w:val="22"/>
                    </w:rPr>
                  </w:pPr>
                  <w:r>
                    <w:rPr>
                      <w:sz w:val="22"/>
                    </w:rPr>
                    <w:t>Документы, подтверждающие полномочия лица на осуществление действий от имени участника.</w:t>
                  </w:r>
                </w:p>
                <w:p>
                  <w:pPr>
                    <w:pStyle w:val="Normal"/>
                    <w:widowControl/>
                    <w:jc w:val="both"/>
                    <w:rPr>
                      <w:sz w:val="22"/>
                    </w:rPr>
                  </w:pPr>
                  <w:r>
                    <w:rPr>
                      <w:sz w:val="22"/>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3.Непроведение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 xml:space="preserve">Декларируется участником в </w:t>
                  </w:r>
                  <w:r>
                    <w:rPr>
                      <w:sz w:val="22"/>
                    </w:rPr>
                    <w:t>заявке на участие в закупке, формируемой с использованием функционала ЭТП</w:t>
                  </w:r>
                </w:p>
              </w:tc>
            </w:tr>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sz w:val="22"/>
                    </w:rPr>
                    <w:t>4. Неприостановление деятельности участника в случаях, предусмотренных законодательством РФ, на день подачи заявки на участие в закупке</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 xml:space="preserve">Декларируется участником в </w:t>
                  </w:r>
                  <w:r>
                    <w:rPr>
                      <w:sz w:val="22"/>
                    </w:rPr>
                    <w:t>заявке на участие в закупке, формируемой с использованием функционала ЭТП</w:t>
                  </w:r>
                </w:p>
              </w:tc>
            </w:tr>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w:t>
                  </w:r>
                  <w:r>
                    <w:rPr>
                      <w:sz w:val="22"/>
                    </w:rPr>
                    <w:t>за прошедший календарный год, размер которых превышает 25% балансовой стоимости активов участника процедуры закупки, по данным бухгалтерской отчетности за последний отчетный период</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 xml:space="preserve">Декларируется участником в </w:t>
                  </w:r>
                  <w:r>
                    <w:rPr>
                      <w:sz w:val="22"/>
                    </w:rPr>
                    <w:t>заявке на участие в закупке, формируемой с использованием функционала ЭТП</w:t>
                  </w:r>
                </w:p>
              </w:tc>
            </w:tr>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 xml:space="preserve">Декларируется участником в </w:t>
                  </w:r>
                  <w:r>
                    <w:rPr>
                      <w:sz w:val="22"/>
                    </w:rPr>
                    <w:t>заявке на участие в закупке, формируемой с использованием функционала ЭТП</w:t>
                  </w:r>
                  <w:r>
                    <w:rPr>
                      <w:color w:val="000000"/>
                      <w:sz w:val="22"/>
                    </w:rPr>
                    <w:t>.</w:t>
                  </w:r>
                </w:p>
                <w:p>
                  <w:pPr>
                    <w:pStyle w:val="Normal"/>
                    <w:widowControl/>
                    <w:jc w:val="both"/>
                    <w:rPr>
                      <w:color w:val="000000"/>
                      <w:sz w:val="22"/>
                    </w:rPr>
                  </w:pPr>
                  <w:r>
                    <w:rPr>
                      <w:sz w:val="22"/>
                    </w:rPr>
                    <w:t xml:space="preserve">Дополнительная проверка осуществляется Заказчиком на сайте </w:t>
                  </w:r>
                  <w:hyperlink r:id="rId22">
                    <w:r>
                      <w:rPr>
                        <w:rStyle w:val="Style4"/>
                        <w:sz w:val="22"/>
                      </w:rPr>
                      <w:t>www</w:t>
                    </w:r>
                    <w:r>
                      <w:rPr>
                        <w:rStyle w:val="Style4"/>
                        <w:sz w:val="22"/>
                      </w:rPr>
                      <w:t>.zakupki.gov.ru</w:t>
                    </w:r>
                  </w:hyperlink>
                  <w:r>
                    <w:rPr>
                      <w:sz w:val="22"/>
                    </w:rPr>
                    <w:t>.</w:t>
                  </w:r>
                </w:p>
              </w:tc>
            </w:tr>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7.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 xml:space="preserve">Декларируется участником в </w:t>
                  </w:r>
                  <w:r>
                    <w:rPr>
                      <w:sz w:val="22"/>
                    </w:rPr>
                    <w:t>заявке на участие в закупке, формируемой с использованием функционала ЭТП</w:t>
                  </w:r>
                  <w:r>
                    <w:rPr>
                      <w:color w:val="000000"/>
                      <w:sz w:val="22"/>
                    </w:rPr>
                    <w:t>.</w:t>
                  </w:r>
                </w:p>
                <w:p>
                  <w:pPr>
                    <w:pStyle w:val="Normal"/>
                    <w:widowControl/>
                    <w:jc w:val="both"/>
                    <w:rPr>
                      <w:color w:val="000000"/>
                      <w:sz w:val="22"/>
                    </w:rPr>
                  </w:pPr>
                  <w:r>
                    <w:rPr>
                      <w:sz w:val="22"/>
                    </w:rPr>
                    <w:t xml:space="preserve">Дополнительная проверка осуществляется Заказчиком на сайте </w:t>
                  </w:r>
                  <w:hyperlink r:id="rId23">
                    <w:r>
                      <w:rPr>
                        <w:rStyle w:val="Style4"/>
                        <w:sz w:val="22"/>
                      </w:rPr>
                      <w:t>www</w:t>
                    </w:r>
                    <w:r>
                      <w:rPr>
                        <w:rStyle w:val="Style4"/>
                        <w:sz w:val="22"/>
                      </w:rPr>
                      <w:t>.zakupki.gov.ru</w:t>
                    </w:r>
                  </w:hyperlink>
                  <w:r>
                    <w:rPr>
                      <w:sz w:val="22"/>
                    </w:rPr>
                    <w:t>.</w:t>
                  </w:r>
                </w:p>
              </w:tc>
            </w:tr>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 xml:space="preserve">Декларируется участником в </w:t>
                  </w:r>
                  <w:r>
                    <w:rPr>
                      <w:sz w:val="22"/>
                    </w:rPr>
                    <w:t>заявке на участие в закупке, формируемой с использованием функционала ЭТП</w:t>
                  </w:r>
                </w:p>
              </w:tc>
            </w:tr>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9. Отсутствие обстоятельств, при которых руководитель Заказчика, член экспертной группы, член комиссии, лицо, ответственное за организацию закупочной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pPr>
                    <w:pStyle w:val="Normal"/>
                    <w:widowControl/>
                    <w:jc w:val="both"/>
                    <w:rPr>
                      <w:color w:val="000000"/>
                      <w:sz w:val="22"/>
                    </w:rPr>
                  </w:pPr>
                  <w:r>
                    <w:rPr>
                      <w:color w:val="000000"/>
                      <w:sz w:val="22"/>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jc w:val="both"/>
                    <w:rPr>
                      <w:color w:val="000000"/>
                      <w:sz w:val="22"/>
                    </w:rPr>
                  </w:pPr>
                  <w:r>
                    <w:rPr>
                      <w:color w:val="000000"/>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jc w:val="both"/>
                    <w:rPr>
                      <w:color w:val="000000"/>
                      <w:sz w:val="22"/>
                    </w:rPr>
                  </w:pPr>
                  <w:r>
                    <w:rPr>
                      <w:color w:val="000000"/>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 xml:space="preserve">Декларируется участником в </w:t>
                  </w:r>
                  <w:r>
                    <w:rPr>
                      <w:sz w:val="22"/>
                    </w:rPr>
                    <w:t>заявке на участие в закупке, формируемой с использованием функционала ЭТП</w:t>
                  </w:r>
                </w:p>
              </w:tc>
            </w:tr>
            <w:tr>
              <w:trPr/>
              <w:tc>
                <w:tcPr>
                  <w:tcW w:w="4027"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 xml:space="preserve">11. Отсутствие сведений об участнике закупки в реестре иностранных агентов, предусмотренном Федеральным законом от 14.07.2022 № 255-ФЗ «О контроле </w:t>
                    <w:br/>
                    <w:t xml:space="preserve">за деятельностью лиц, находящихся </w:t>
                    <w:br/>
                    <w:t>под иностранным влиянием»</w:t>
                  </w:r>
                </w:p>
              </w:tc>
              <w:tc>
                <w:tcPr>
                  <w:tcW w:w="405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color w:val="000000"/>
                      <w:sz w:val="22"/>
                    </w:rPr>
                  </w:pPr>
                  <w:r>
                    <w:rPr>
                      <w:color w:val="000000"/>
                      <w:sz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pPr>
              <w:pStyle w:val="Normal"/>
              <w:widowControl/>
              <w:jc w:val="both"/>
              <w:rPr>
                <w:b/>
                <w:sz w:val="22"/>
              </w:rPr>
            </w:pPr>
            <w:r>
              <w:rPr>
                <w:b/>
                <w:sz w:val="22"/>
              </w:rPr>
            </w:r>
          </w:p>
          <w:p>
            <w:pPr>
              <w:pStyle w:val="Normal"/>
              <w:widowControl/>
              <w:jc w:val="both"/>
              <w:rPr>
                <w:b/>
                <w:sz w:val="22"/>
              </w:rPr>
            </w:pPr>
            <w:r>
              <w:rPr>
                <w:b/>
                <w:sz w:val="22"/>
              </w:rPr>
              <w:t>Дополнительные требования:</w:t>
            </w:r>
          </w:p>
          <w:tbl>
            <w:tblPr>
              <w:tblW w:w="8070" w:type="dxa"/>
              <w:jc w:val="start"/>
              <w:tblInd w:w="0" w:type="dxa"/>
              <w:tblLayout w:type="fixed"/>
              <w:tblCellMar>
                <w:top w:w="0" w:type="dxa"/>
                <w:start w:w="108" w:type="dxa"/>
                <w:bottom w:w="0" w:type="dxa"/>
                <w:end w:w="108" w:type="dxa"/>
              </w:tblCellMar>
            </w:tblPr>
            <w:tblGrid>
              <w:gridCol w:w="3674"/>
              <w:gridCol w:w="4395"/>
            </w:tblGrid>
            <w:tr>
              <w:trPr/>
              <w:tc>
                <w:tcPr>
                  <w:tcW w:w="3674"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center"/>
                    <w:rPr>
                      <w:b/>
                      <w:color w:val="000000"/>
                      <w:sz w:val="22"/>
                    </w:rPr>
                  </w:pPr>
                  <w:r>
                    <w:rPr>
                      <w:b/>
                      <w:color w:val="000000"/>
                      <w:sz w:val="22"/>
                    </w:rPr>
                    <w:t>Наименование требования</w:t>
                  </w:r>
                </w:p>
              </w:tc>
              <w:tc>
                <w:tcPr>
                  <w:tcW w:w="439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center"/>
                    <w:rPr>
                      <w:b/>
                      <w:color w:val="000000"/>
                      <w:sz w:val="22"/>
                    </w:rPr>
                  </w:pPr>
                  <w:r>
                    <w:rPr>
                      <w:b/>
                      <w:color w:val="000000"/>
                      <w:sz w:val="22"/>
                    </w:rPr>
                    <w:t>Подтверждающие документы</w:t>
                  </w:r>
                </w:p>
              </w:tc>
            </w:tr>
            <w:tr>
              <w:trPr/>
              <w:tc>
                <w:tcPr>
                  <w:tcW w:w="3674"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b/>
                      <w:color w:val="000000"/>
                      <w:sz w:val="22"/>
                    </w:rPr>
                  </w:pPr>
                  <w:r>
                    <w:rPr>
                      <w:b/>
                      <w:color w:val="000000"/>
                      <w:sz w:val="22"/>
                    </w:rPr>
                    <w:t>Не установлено</w:t>
                  </w:r>
                </w:p>
              </w:tc>
              <w:tc>
                <w:tcPr>
                  <w:tcW w:w="4395"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both"/>
                    <w:rPr>
                      <w:b/>
                      <w:color w:val="000000"/>
                      <w:sz w:val="22"/>
                    </w:rPr>
                  </w:pPr>
                  <w:r>
                    <w:rPr>
                      <w:b/>
                      <w:color w:val="000000"/>
                      <w:sz w:val="22"/>
                    </w:rPr>
                    <w:t>Не установлено</w:t>
                  </w:r>
                </w:p>
              </w:tc>
            </w:tr>
          </w:tbl>
          <w:p>
            <w:pPr>
              <w:pStyle w:val="Normal"/>
              <w:widowControl/>
              <w:jc w:val="both"/>
              <w:rPr>
                <w:b/>
                <w:sz w:val="22"/>
              </w:rPr>
            </w:pPr>
            <w:r>
              <w:rPr>
                <w:b/>
                <w:sz w:val="22"/>
              </w:rPr>
            </w:r>
          </w:p>
        </w:tc>
      </w:tr>
      <w:tr>
        <w:trPr>
          <w:trHeight w:val="856" w:hRule="atLeast"/>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33" w:name="_Ref184389226"/>
            <w:bookmarkStart w:id="134" w:name="_Ref184389226"/>
            <w:bookmarkEnd w:id="134"/>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Меры по предоставлению национального режима при осуществлении закупки</w:t>
            </w:r>
          </w:p>
        </w:tc>
        <w:tc>
          <w:tcPr>
            <w:tcW w:w="8310" w:type="dxa"/>
            <w:tcBorders>
              <w:top w:val="single" w:sz="4" w:space="0" w:color="000000"/>
              <w:start w:val="single" w:sz="4" w:space="0" w:color="000000"/>
              <w:bottom w:val="single" w:sz="4" w:space="0" w:color="000000"/>
              <w:end w:val="single" w:sz="4" w:space="0" w:color="000000"/>
            </w:tcBorders>
          </w:tcPr>
          <w:p>
            <w:pPr>
              <w:pStyle w:val="Normal"/>
              <w:widowControl/>
              <w:jc w:val="both"/>
              <w:rPr>
                <w:i/>
                <w:i/>
                <w:sz w:val="22"/>
              </w:rPr>
            </w:pPr>
            <w:r>
              <w:rPr>
                <w:i/>
                <w:sz w:val="22"/>
              </w:rPr>
            </w:r>
          </w:p>
          <w:p>
            <w:pPr>
              <w:pStyle w:val="Normal"/>
              <w:widowControl/>
              <w:jc w:val="both"/>
              <w:rPr>
                <w:sz w:val="22"/>
              </w:rPr>
            </w:pPr>
            <w:r>
              <w:rPr>
                <w:sz w:val="22"/>
              </w:rPr>
              <w:t>При осуществлении настоящей закупки в соответствии с постановлением Правительства РФ № 1875 устанавливается:</w:t>
            </w:r>
          </w:p>
          <w:p>
            <w:pPr>
              <w:pStyle w:val="Normal"/>
              <w:widowControl/>
              <w:jc w:val="both"/>
              <w:rPr>
                <w:sz w:val="22"/>
              </w:rPr>
            </w:pPr>
            <w:r>
              <w:rPr>
                <w:sz w:val="22"/>
              </w:rPr>
            </w:r>
          </w:p>
          <w:p>
            <w:pPr>
              <w:pStyle w:val="Normal"/>
              <w:widowControl/>
              <w:jc w:val="both"/>
              <w:rPr>
                <w:sz w:val="22"/>
              </w:rPr>
            </w:pPr>
            <w:r>
              <w:rPr>
                <w:sz w:val="22"/>
              </w:rPr>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на основании пп. с) п. 4</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Информация и документы, подтверждающие страну происхождения товара, для целей настоящей закупки:</w:t>
            </w:r>
          </w:p>
          <w:p>
            <w:pPr>
              <w:pStyle w:val="Normal"/>
              <w:widowControl/>
              <w:jc w:val="both"/>
              <w:rPr>
                <w:color w:val="FF0000"/>
                <w:sz w:val="22"/>
              </w:rPr>
            </w:pPr>
            <w:r>
              <w:rPr>
                <w:color w:val="FF0000"/>
                <w:sz w:val="22"/>
              </w:rPr>
            </w:r>
          </w:p>
          <w:p>
            <w:pPr>
              <w:pStyle w:val="Normal"/>
              <w:widowControl/>
              <w:jc w:val="both"/>
              <w:rPr>
                <w:sz w:val="22"/>
              </w:rPr>
            </w:pPr>
            <w:r>
              <w:rPr>
                <w:sz w:val="22"/>
              </w:rPr>
              <w:t>- для подтверждения происхождения программ для электронных вычислительных машин и (или) баз данных (далее - программное обеспечение), указанных в РАЗДЕЛЕ IV ТЕХНИЧЕСКОЕ ЗАДАНИЕ,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pPr>
              <w:pStyle w:val="Normal"/>
              <w:widowControl/>
              <w:jc w:val="both"/>
              <w:rPr>
                <w:sz w:val="22"/>
              </w:rPr>
            </w:pPr>
            <w:r>
              <w:rPr>
                <w:sz w:val="22"/>
              </w:rPr>
            </w:r>
          </w:p>
          <w:p>
            <w:pPr>
              <w:pStyle w:val="Normal"/>
              <w:widowControl/>
              <w:jc w:val="both"/>
              <w:rPr/>
            </w:pPr>
            <w:r>
              <w:rPr>
                <w:i w:val="false"/>
                <w:color w:val="000000"/>
                <w:sz w:val="22"/>
              </w:rPr>
              <w:t>- для подтверждения происхождения программного обеспечения, указанного в РАЗДЕЛЕ IV ТЕХНИЧЕСКОЕ ЗАДАНИЕ,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pPr>
              <w:pStyle w:val="Default1"/>
              <w:widowControl/>
              <w:ind w:hanging="0" w:start="-14" w:end="0"/>
              <w:jc w:val="both"/>
              <w:rPr>
                <w:sz w:val="22"/>
              </w:rPr>
            </w:pPr>
            <w:r>
              <w:rPr>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bookmarkStart w:id="135" w:name="_Ref55317127"/>
            <w:bookmarkStart w:id="136" w:name="_Ref55317127"/>
            <w:bookmarkEnd w:id="136"/>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Состав заявки на участие в закупке</w:t>
            </w:r>
          </w:p>
        </w:tc>
        <w:tc>
          <w:tcPr>
            <w:tcW w:w="8310" w:type="dxa"/>
            <w:tcBorders>
              <w:top w:val="single" w:sz="4" w:space="0" w:color="000000"/>
              <w:start w:val="single" w:sz="4" w:space="0" w:color="000000"/>
              <w:bottom w:val="single" w:sz="4" w:space="0" w:color="000000"/>
              <w:end w:val="single" w:sz="4" w:space="0" w:color="000000"/>
            </w:tcBorders>
          </w:tcPr>
          <w:p>
            <w:pPr>
              <w:pStyle w:val="Default1"/>
              <w:widowControl/>
              <w:jc w:val="both"/>
              <w:rPr>
                <w:b/>
                <w:sz w:val="22"/>
              </w:rPr>
            </w:pPr>
            <w:r>
              <w:rPr>
                <w:b/>
                <w:sz w:val="22"/>
              </w:rPr>
              <w:t>Лот № 1</w:t>
            </w:r>
          </w:p>
          <w:p>
            <w:pPr>
              <w:pStyle w:val="Normal"/>
              <w:widowControl/>
              <w:numPr>
                <w:ilvl w:val="0"/>
                <w:numId w:val="11"/>
              </w:numPr>
              <w:tabs>
                <w:tab w:val="clear" w:pos="720"/>
                <w:tab w:val="left" w:pos="0" w:leader="none"/>
                <w:tab w:val="left" w:pos="400" w:leader="none"/>
                <w:tab w:val="left" w:pos="1140" w:leader="none"/>
              </w:tabs>
              <w:ind w:hanging="0" w:start="0" w:end="153"/>
              <w:jc w:val="both"/>
              <w:rPr>
                <w:sz w:val="22"/>
              </w:rPr>
            </w:pPr>
            <w:r>
              <w:rPr>
                <w:sz w:val="22"/>
              </w:rPr>
              <w:t xml:space="preserve">Анкета участника закупки по </w:t>
            </w:r>
            <w:hyperlink w:anchor="_Форма_2_АНКЕТА">
              <w:r>
                <w:rPr>
                  <w:rStyle w:val="Style4"/>
                  <w:sz w:val="22"/>
                </w:rPr>
                <w:t>Форме 1 раздела III «ФОРМЫ ДЛЯ ЗАПОЛНЕНИЯ УЧАСТНИКАМИ ЗАКУПКИ»</w:t>
              </w:r>
            </w:hyperlink>
            <w:r>
              <w:rPr>
                <w:sz w:val="22"/>
              </w:rPr>
              <w:t>;</w:t>
            </w:r>
          </w:p>
          <w:p>
            <w:pPr>
              <w:pStyle w:val="Normal"/>
              <w:widowControl/>
              <w:numPr>
                <w:ilvl w:val="0"/>
                <w:numId w:val="11"/>
              </w:numPr>
              <w:tabs>
                <w:tab w:val="clear" w:pos="720"/>
                <w:tab w:val="left" w:pos="0" w:leader="none"/>
                <w:tab w:val="left" w:pos="400" w:leader="none"/>
                <w:tab w:val="left" w:pos="1140" w:leader="none"/>
              </w:tabs>
              <w:ind w:hanging="0" w:start="0" w:end="153"/>
              <w:jc w:val="both"/>
              <w:rPr>
                <w:sz w:val="22"/>
              </w:rPr>
            </w:pPr>
            <w:r>
              <w:rPr>
                <w:sz w:val="22"/>
              </w:rPr>
              <w:t xml:space="preserve">Технико-коммерческое предложение по </w:t>
            </w:r>
            <w:hyperlink w:anchor="_Форма_3_ТЕХНИКО-КОММЕРЧЕСКОЕ_1">
              <w:r>
                <w:rPr>
                  <w:rStyle w:val="Style4"/>
                  <w:sz w:val="22"/>
                </w:rPr>
                <w:t>Форме 2 раздела III «ФОРМЫ ДЛЯ ЗАПОЛНЕНИЯ УЧАСТНИКАМИ ЗАКУПКИ»</w:t>
              </w:r>
            </w:hyperlink>
            <w:r>
              <w:rPr>
                <w:sz w:val="22"/>
              </w:rPr>
              <w:t>;</w:t>
            </w:r>
          </w:p>
          <w:p>
            <w:pPr>
              <w:pStyle w:val="Normal"/>
              <w:widowControl/>
              <w:numPr>
                <w:ilvl w:val="0"/>
                <w:numId w:val="11"/>
              </w:numPr>
              <w:tabs>
                <w:tab w:val="clear" w:pos="720"/>
                <w:tab w:val="left" w:pos="199" w:leader="none"/>
                <w:tab w:val="left" w:pos="400" w:leader="none"/>
                <w:tab w:val="left" w:pos="1140" w:leader="none"/>
              </w:tabs>
              <w:ind w:hanging="0" w:start="0" w:end="0"/>
              <w:jc w:val="both"/>
              <w:rPr>
                <w:sz w:val="22"/>
              </w:rPr>
            </w:pPr>
            <w:r>
              <w:rPr>
                <w:sz w:val="22"/>
              </w:rPr>
              <w:t xml:space="preserve">Документы, указанные в п. </w:t>
            </w:r>
            <w:r>
              <w:rPr>
                <w:sz w:val="22"/>
              </w:rPr>
              <w:fldChar w:fldCharType="begin"/>
            </w:r>
            <w:r>
              <w:rPr>
                <w:sz w:val="22"/>
              </w:rPr>
              <w:instrText xml:space="preserve"> REF _Ref55317066 \r \r \h </w:instrText>
            </w:r>
            <w:r>
              <w:rPr>
                <w:sz w:val="22"/>
              </w:rPr>
              <w:fldChar w:fldCharType="separate"/>
            </w:r>
            <w:r>
              <w:rPr>
                <w:sz w:val="22"/>
              </w:rPr>
              <w:t>10</w:t>
            </w:r>
            <w:r>
              <w:rPr>
                <w:sz w:val="22"/>
              </w:rPr>
              <w:fldChar w:fldCharType="end"/>
            </w:r>
            <w:r>
              <w:rPr>
                <w:sz w:val="22"/>
              </w:rPr>
              <w:t xml:space="preserve"> раздела </w:t>
            </w:r>
            <w:hyperlink w:anchor="_РАЗДЕЛ_II._ИНФОРМАЦИОННАЯ_1">
              <w:r>
                <w:rPr>
                  <w:rStyle w:val="Style4"/>
                  <w:sz w:val="22"/>
                </w:rPr>
                <w:t>II «ИНФОРМАЦИОННАЯ КАРТА»</w:t>
              </w:r>
            </w:hyperlink>
            <w:r>
              <w:rPr>
                <w:sz w:val="22"/>
              </w:rPr>
              <w:t>, подтверждающие соответствие участника закупки общим, дополнительным (при наличии) и специальным (при наличии) требованиям.</w:t>
            </w:r>
          </w:p>
          <w:p>
            <w:pPr>
              <w:pStyle w:val="Normal"/>
              <w:widowControl/>
              <w:numPr>
                <w:ilvl w:val="0"/>
                <w:numId w:val="11"/>
              </w:numPr>
              <w:tabs>
                <w:tab w:val="clear" w:pos="720"/>
                <w:tab w:val="left" w:pos="199" w:leader="none"/>
                <w:tab w:val="left" w:pos="400" w:leader="none"/>
                <w:tab w:val="left" w:pos="1140" w:leader="none"/>
              </w:tabs>
              <w:ind w:hanging="0" w:start="0" w:end="0"/>
              <w:jc w:val="both"/>
              <w:rPr>
                <w:sz w:val="22"/>
              </w:rPr>
            </w:pPr>
            <w:r>
              <w:rPr>
                <w:sz w:val="22"/>
              </w:rPr>
              <w:t xml:space="preserve">Информация и документы, указанные в п. </w:t>
            </w:r>
            <w:r>
              <w:rPr/>
              <w:fldChar w:fldCharType="begin"/>
            </w:r>
            <w:r>
              <w:rPr/>
              <w:instrText xml:space="preserve"> REF _Ref184389226 \r \r \h </w:instrText>
            </w:r>
            <w:r>
              <w:rPr/>
              <w:fldChar w:fldCharType="separate"/>
            </w:r>
            <w:r>
              <w:rPr/>
              <w:t>11</w:t>
            </w:r>
            <w:r>
              <w:rPr/>
              <w:fldChar w:fldCharType="end"/>
            </w:r>
            <w:r>
              <w:rPr>
                <w:sz w:val="22"/>
              </w:rPr>
              <w:t xml:space="preserve"> раздела </w:t>
            </w:r>
            <w:hyperlink w:anchor="_РАЗДЕЛ_II._ИНФОРМАЦИОННАЯ_1">
              <w:r>
                <w:rPr>
                  <w:rStyle w:val="Style4"/>
                  <w:sz w:val="22"/>
                </w:rPr>
                <w:t>II «ИНФОРМАЦИОННАЯ КАРТА»</w:t>
              </w:r>
            </w:hyperlink>
            <w:r>
              <w:rPr>
                <w:sz w:val="22"/>
              </w:rPr>
              <w:t>, подтверждающие страну происхождения товара;</w:t>
            </w:r>
          </w:p>
          <w:p>
            <w:pPr>
              <w:pStyle w:val="Normal"/>
              <w:widowControl/>
              <w:numPr>
                <w:ilvl w:val="0"/>
                <w:numId w:val="11"/>
              </w:numPr>
              <w:tabs>
                <w:tab w:val="clear" w:pos="720"/>
                <w:tab w:val="left" w:pos="199" w:leader="none"/>
                <w:tab w:val="left" w:pos="400" w:leader="none"/>
                <w:tab w:val="left" w:pos="1140" w:leader="none"/>
              </w:tabs>
              <w:ind w:hanging="0" w:start="0" w:end="0"/>
              <w:jc w:val="both"/>
              <w:rPr>
                <w:sz w:val="22"/>
              </w:rPr>
            </w:pPr>
            <w:r>
              <w:rPr>
                <w:sz w:val="22"/>
              </w:rPr>
              <w:t xml:space="preserve">Документ, указанный в п. </w:t>
            </w:r>
            <w:r>
              <w:rPr>
                <w:sz w:val="22"/>
              </w:rPr>
              <w:fldChar w:fldCharType="begin"/>
            </w:r>
            <w:r>
              <w:rPr>
                <w:sz w:val="22"/>
              </w:rPr>
              <w:instrText xml:space="preserve"> REF _Ref55325645 \r \r \h </w:instrText>
            </w:r>
            <w:r>
              <w:rPr>
                <w:sz w:val="22"/>
              </w:rPr>
              <w:fldChar w:fldCharType="separate"/>
            </w:r>
            <w:r>
              <w:rPr>
                <w:sz w:val="22"/>
              </w:rPr>
              <w:t>3.2.4</w:t>
            </w:r>
            <w:r>
              <w:rPr>
                <w:sz w:val="22"/>
              </w:rPr>
              <w:fldChar w:fldCharType="end"/>
            </w:r>
            <w:r>
              <w:rPr>
                <w:sz w:val="22"/>
              </w:rPr>
              <w:t xml:space="preserve"> раздела </w:t>
            </w:r>
            <w:hyperlink w:anchor="_РАЗДЕЛ_I._ОБЩАЯ">
              <w:r>
                <w:rPr>
                  <w:rStyle w:val="Style4"/>
                  <w:sz w:val="22"/>
                </w:rPr>
                <w:t>I «ОБЩАЯ ЧАСТЬ»</w:t>
              </w:r>
            </w:hyperlink>
            <w:r>
              <w:rPr>
                <w:sz w:val="22"/>
              </w:rPr>
              <w:t>, в случае если на стороне участника выступает несколько юридических лиц (несколько индивидуальных предпринимателей либо несколько физических лиц).</w:t>
            </w:r>
          </w:p>
          <w:p>
            <w:pPr>
              <w:pStyle w:val="Normal"/>
              <w:widowControl/>
              <w:tabs>
                <w:tab w:val="clear" w:pos="720"/>
                <w:tab w:val="left" w:pos="199" w:leader="none"/>
                <w:tab w:val="left" w:pos="400" w:leader="none"/>
                <w:tab w:val="left" w:pos="1140" w:leader="none"/>
              </w:tabs>
              <w:ind w:hanging="0" w:start="0" w:end="0"/>
              <w:jc w:val="both"/>
              <w:rPr>
                <w:sz w:val="22"/>
              </w:rPr>
            </w:pPr>
            <w:r>
              <w:rPr>
                <w:sz w:val="22"/>
              </w:rPr>
            </w:r>
          </w:p>
          <w:p>
            <w:pPr>
              <w:pStyle w:val="Normal"/>
              <w:widowControl/>
              <w:tabs>
                <w:tab w:val="clear" w:pos="720"/>
                <w:tab w:val="left" w:pos="0" w:leader="none"/>
                <w:tab w:val="left" w:pos="400" w:leader="none"/>
                <w:tab w:val="left" w:pos="1140" w:leader="none"/>
              </w:tabs>
              <w:jc w:val="both"/>
              <w:rPr>
                <w:sz w:val="22"/>
              </w:rPr>
            </w:pPr>
            <w:r>
              <w:rPr>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10"/>
              </w:numPr>
              <w:tabs>
                <w:tab w:val="clear" w:pos="720"/>
                <w:tab w:val="left" w:pos="0" w:leader="none"/>
              </w:tabs>
              <w:ind w:hanging="0" w:start="0" w:end="0"/>
              <w:rPr>
                <w:b/>
                <w:sz w:val="22"/>
              </w:rPr>
            </w:pPr>
            <w:r>
              <w:rPr>
                <w:b/>
                <w:sz w:val="22"/>
              </w:rPr>
            </w:r>
            <w:bookmarkStart w:id="137" w:name="_Ref368304315"/>
            <w:bookmarkStart w:id="138" w:name="_Ref368304315"/>
            <w:bookmarkEnd w:id="138"/>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Порядок, дата начала, дата и время окончания срока подачи заявок на участие в закупке (этапах закупки)</w:t>
            </w:r>
          </w:p>
        </w:tc>
        <w:tc>
          <w:tcPr>
            <w:tcW w:w="8310" w:type="dxa"/>
            <w:tcBorders>
              <w:top w:val="single" w:sz="4" w:space="0" w:color="000000"/>
              <w:start w:val="single" w:sz="4" w:space="0" w:color="000000"/>
              <w:bottom w:val="single" w:sz="4" w:space="0" w:color="000000"/>
              <w:end w:val="single" w:sz="4" w:space="0" w:color="000000"/>
            </w:tcBorders>
          </w:tcPr>
          <w:p>
            <w:pPr>
              <w:pStyle w:val="rvps91"/>
              <w:rPr>
                <w:sz w:val="22"/>
              </w:rPr>
            </w:pPr>
            <w:r>
              <w:rPr>
                <w:sz w:val="22"/>
              </w:rPr>
              <w:t>Заявки подаются посредством ЭТП по адресу: https://tender.lot-online.ru                                    в соответствии с регламентом работы ЭТП.</w:t>
            </w:r>
          </w:p>
          <w:p>
            <w:pPr>
              <w:pStyle w:val="Normal"/>
              <w:widowControl/>
              <w:jc w:val="both"/>
              <w:rPr>
                <w:sz w:val="22"/>
              </w:rPr>
            </w:pPr>
            <w:r>
              <w:rPr>
                <w:sz w:val="22"/>
              </w:rPr>
            </w:r>
          </w:p>
          <w:p>
            <w:pPr>
              <w:pStyle w:val="Normal"/>
              <w:widowControl/>
              <w:jc w:val="both"/>
              <w:rPr>
                <w:sz w:val="22"/>
              </w:rPr>
            </w:pPr>
            <w:r>
              <w:rPr>
                <w:sz w:val="22"/>
              </w:rPr>
              <w:t>Дата начала срока: день размещения на ЭТП извещения и документации.</w:t>
            </w:r>
          </w:p>
          <w:p>
            <w:pPr>
              <w:pStyle w:val="Normal"/>
              <w:widowControl/>
              <w:jc w:val="both"/>
              <w:rPr>
                <w:sz w:val="22"/>
              </w:rPr>
            </w:pPr>
            <w:r>
              <w:rPr>
                <w:sz w:val="22"/>
              </w:rPr>
              <w:t>Дата и время окончания срока:</w:t>
            </w:r>
          </w:p>
          <w:p>
            <w:pPr>
              <w:pStyle w:val="Normal"/>
              <w:rPr>
                <w:sz w:val="22"/>
              </w:rPr>
            </w:pPr>
            <w:r>
              <w:rPr>
                <w:sz w:val="22"/>
              </w:rPr>
              <w:t>0</w:t>
            </w:r>
            <w:r>
              <w:rPr>
                <w:sz w:val="22"/>
              </w:rPr>
              <w:t>9</w:t>
            </w:r>
            <w:r>
              <w:rPr>
                <w:sz w:val="22"/>
              </w:rPr>
              <w:t>.02.2026 09:00 (время московское)</w:t>
            </w:r>
          </w:p>
          <w:p>
            <w:pPr>
              <w:pStyle w:val="Normal"/>
              <w:rPr>
                <w:sz w:val="22"/>
              </w:rPr>
            </w:pPr>
            <w:r>
              <w:rPr>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10"/>
              </w:numPr>
              <w:tabs>
                <w:tab w:val="clear" w:pos="4677"/>
                <w:tab w:val="clear" w:pos="9355"/>
                <w:tab w:val="left" w:pos="0" w:leader="none"/>
              </w:tabs>
              <w:ind w:hanging="0" w:start="0" w:end="0"/>
              <w:rPr>
                <w:b/>
                <w:sz w:val="22"/>
              </w:rPr>
            </w:pPr>
            <w:r>
              <w:rPr>
                <w:b/>
                <w:sz w:val="22"/>
              </w:rPr>
            </w:r>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Место, дата и время открытия доступа к заявкам</w:t>
            </w:r>
          </w:p>
        </w:tc>
        <w:tc>
          <w:tcPr>
            <w:tcW w:w="83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0</w:t>
            </w:r>
            <w:r>
              <w:rPr>
                <w:sz w:val="22"/>
              </w:rPr>
              <w:t>9</w:t>
            </w:r>
            <w:r>
              <w:rPr>
                <w:sz w:val="22"/>
              </w:rPr>
              <w:t>.02.2026 09:00 (время московское)</w:t>
            </w:r>
          </w:p>
          <w:p>
            <w:pPr>
              <w:pStyle w:val="Normal"/>
              <w:rPr>
                <w:sz w:val="22"/>
              </w:rPr>
            </w:pPr>
            <w:r>
              <w:rPr>
                <w:sz w:val="22"/>
              </w:rPr>
            </w:r>
          </w:p>
          <w:p>
            <w:pPr>
              <w:pStyle w:val="Normal"/>
              <w:rPr>
                <w:sz w:val="22"/>
              </w:rPr>
            </w:pPr>
            <w:r>
              <w:rPr>
                <w:sz w:val="22"/>
              </w:rPr>
              <w:t>Место открытия доступа к поданным заявкам – ЭТП.</w:t>
            </w:r>
          </w:p>
        </w:tc>
      </w:tr>
      <w:tr>
        <w:trPr/>
        <w:tc>
          <w:tcPr>
            <w:tcW w:w="530"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10"/>
              </w:numPr>
              <w:tabs>
                <w:tab w:val="clear" w:pos="720"/>
                <w:tab w:val="left" w:pos="0" w:leader="none"/>
              </w:tabs>
              <w:ind w:hanging="0" w:start="0" w:end="0"/>
              <w:rPr>
                <w:b/>
                <w:sz w:val="22"/>
              </w:rPr>
            </w:pPr>
            <w:r>
              <w:rPr>
                <w:b/>
                <w:sz w:val="22"/>
              </w:rPr>
            </w:r>
            <w:bookmarkStart w:id="139" w:name="_Ref378107245"/>
            <w:bookmarkStart w:id="140" w:name="_Ref378107245"/>
            <w:bookmarkEnd w:id="140"/>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Дата рассмотрения предложений участников закупки и подведения итогов закупки</w:t>
            </w:r>
          </w:p>
        </w:tc>
        <w:tc>
          <w:tcPr>
            <w:tcW w:w="8310" w:type="dxa"/>
            <w:tcBorders>
              <w:top w:val="single" w:sz="4" w:space="0" w:color="000000"/>
              <w:start w:val="single" w:sz="4" w:space="0" w:color="000000"/>
              <w:bottom w:val="single" w:sz="4" w:space="0" w:color="000000"/>
              <w:end w:val="single" w:sz="4" w:space="0" w:color="000000"/>
            </w:tcBorders>
          </w:tcPr>
          <w:p>
            <w:pPr>
              <w:pStyle w:val="Normal"/>
              <w:widowControl/>
              <w:jc w:val="both"/>
              <w:rPr>
                <w:sz w:val="22"/>
              </w:rPr>
            </w:pPr>
            <w:r>
              <w:rPr>
                <w:b/>
                <w:sz w:val="22"/>
              </w:rPr>
              <w:t>Рассмотрение заявок</w:t>
            </w:r>
            <w:r>
              <w:rPr>
                <w:sz w:val="22"/>
              </w:rPr>
              <w:t>: 0</w:t>
            </w:r>
            <w:r>
              <w:rPr>
                <w:sz w:val="22"/>
              </w:rPr>
              <w:t>9</w:t>
            </w:r>
            <w:r>
              <w:rPr>
                <w:sz w:val="22"/>
              </w:rPr>
              <w:t>.02.2026</w:t>
            </w:r>
          </w:p>
          <w:p>
            <w:pPr>
              <w:pStyle w:val="Normal"/>
              <w:widowControl/>
              <w:jc w:val="both"/>
              <w:rPr>
                <w:sz w:val="22"/>
              </w:rPr>
            </w:pPr>
            <w:r>
              <w:rPr>
                <w:sz w:val="22"/>
              </w:rPr>
            </w:r>
          </w:p>
          <w:p>
            <w:pPr>
              <w:pStyle w:val="Normal"/>
              <w:widowControl/>
              <w:jc w:val="both"/>
              <w:rPr>
                <w:sz w:val="22"/>
              </w:rPr>
            </w:pPr>
            <w:r>
              <w:rPr>
                <w:b/>
                <w:sz w:val="22"/>
              </w:rPr>
              <w:t>Оценка и сопоставление заявок</w:t>
            </w:r>
            <w:r>
              <w:rPr>
                <w:sz w:val="22"/>
              </w:rPr>
              <w:t xml:space="preserve"> </w:t>
            </w:r>
            <w:r>
              <w:rPr>
                <w:sz w:val="22"/>
              </w:rPr>
              <w:t>10</w:t>
            </w:r>
            <w:r>
              <w:rPr>
                <w:sz w:val="22"/>
              </w:rPr>
              <w:t>.02.2026</w:t>
            </w:r>
          </w:p>
          <w:p>
            <w:pPr>
              <w:pStyle w:val="Normal"/>
              <w:widowControl/>
              <w:jc w:val="both"/>
              <w:rPr>
                <w:sz w:val="22"/>
              </w:rPr>
            </w:pPr>
            <w:r>
              <w:rPr>
                <w:sz w:val="22"/>
              </w:rPr>
            </w:r>
          </w:p>
          <w:p>
            <w:pPr>
              <w:pStyle w:val="Normal"/>
              <w:widowControl/>
              <w:jc w:val="both"/>
              <w:rPr>
                <w:sz w:val="22"/>
              </w:rPr>
            </w:pPr>
            <w:r>
              <w:rPr>
                <w:b/>
                <w:sz w:val="22"/>
              </w:rPr>
              <w:t>Подведение итогов закупки</w:t>
            </w:r>
            <w:r>
              <w:rPr>
                <w:sz w:val="22"/>
              </w:rPr>
              <w:t xml:space="preserve">: </w:t>
            </w:r>
            <w:r>
              <w:rPr>
                <w:sz w:val="22"/>
              </w:rPr>
              <w:t>10</w:t>
            </w:r>
            <w:r>
              <w:rPr>
                <w:sz w:val="22"/>
              </w:rPr>
              <w:t>.02.2026</w:t>
            </w:r>
          </w:p>
          <w:p>
            <w:pPr>
              <w:pStyle w:val="Normal"/>
              <w:widowControl/>
              <w:jc w:val="both"/>
              <w:rPr>
                <w:i/>
                <w:i/>
                <w:color w:val="FF0000"/>
                <w:sz w:val="22"/>
              </w:rPr>
            </w:pPr>
            <w:r>
              <w:rPr>
                <w:sz w:val="22"/>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trPr/>
        <w:tc>
          <w:tcPr>
            <w:tcW w:w="530"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10"/>
              </w:numPr>
              <w:tabs>
                <w:tab w:val="clear" w:pos="720"/>
                <w:tab w:val="left" w:pos="0" w:leader="none"/>
              </w:tabs>
              <w:ind w:hanging="0" w:start="0" w:end="0"/>
              <w:rPr>
                <w:b/>
                <w:sz w:val="22"/>
              </w:rPr>
            </w:pPr>
            <w:r>
              <w:rPr>
                <w:b/>
                <w:sz w:val="22"/>
              </w:rPr>
            </w:r>
            <w:bookmarkStart w:id="141" w:name="_Ref55317440"/>
            <w:bookmarkStart w:id="142" w:name="_Ref55317440"/>
            <w:bookmarkEnd w:id="142"/>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bookmarkStart w:id="143" w:name="форма9"/>
            <w:bookmarkStart w:id="144" w:name="_Ref55317440_Копия_1"/>
            <w:bookmarkEnd w:id="144"/>
            <w:r>
              <w:rPr>
                <w:b/>
                <w:sz w:val="22"/>
              </w:rPr>
              <w:t>Дата и время окончания срока предоставления участникам закупки разъяснений положений документации о закупке</w:t>
            </w:r>
            <w:bookmarkEnd w:id="143"/>
          </w:p>
        </w:tc>
        <w:tc>
          <w:tcPr>
            <w:tcW w:w="8310" w:type="dxa"/>
            <w:tcBorders>
              <w:top w:val="single" w:sz="4" w:space="0" w:color="000000"/>
              <w:start w:val="single" w:sz="4" w:space="0" w:color="000000"/>
              <w:bottom w:val="single" w:sz="4" w:space="0" w:color="000000"/>
              <w:end w:val="single" w:sz="4" w:space="0" w:color="000000"/>
            </w:tcBorders>
          </w:tcPr>
          <w:p>
            <w:pPr>
              <w:pStyle w:val="Normal"/>
              <w:widowControl/>
              <w:jc w:val="both"/>
              <w:rPr>
                <w:sz w:val="22"/>
              </w:rPr>
            </w:pPr>
            <w:r>
              <w:rPr>
                <w:b/>
                <w:sz w:val="22"/>
              </w:rPr>
              <w:t>Дата начала срока предоставления участникам разъяснений положений документации о закупке:</w:t>
            </w:r>
            <w:r>
              <w:rPr>
                <w:sz w:val="22"/>
              </w:rPr>
              <w:t xml:space="preserve"> 30.01.2026</w:t>
            </w:r>
          </w:p>
          <w:p>
            <w:pPr>
              <w:pStyle w:val="Normal"/>
              <w:widowControl/>
              <w:jc w:val="both"/>
              <w:rPr>
                <w:i/>
                <w:i/>
                <w:color w:val="FF0000"/>
                <w:sz w:val="22"/>
              </w:rPr>
            </w:pPr>
            <w:r>
              <w:rPr>
                <w:i/>
                <w:color w:val="FF0000"/>
                <w:sz w:val="22"/>
              </w:rPr>
            </w:r>
          </w:p>
          <w:p>
            <w:pPr>
              <w:pStyle w:val="Normal"/>
              <w:widowControl/>
              <w:jc w:val="both"/>
              <w:rPr>
                <w:b/>
                <w:sz w:val="22"/>
              </w:rPr>
            </w:pPr>
            <w:r>
              <w:rPr>
                <w:b/>
                <w:sz w:val="22"/>
              </w:rPr>
            </w:r>
          </w:p>
          <w:p>
            <w:pPr>
              <w:pStyle w:val="Normal"/>
              <w:widowControl/>
              <w:jc w:val="both"/>
              <w:rPr>
                <w:i/>
                <w:i/>
                <w:color w:val="FF0000"/>
                <w:sz w:val="22"/>
              </w:rPr>
            </w:pPr>
            <w:r>
              <w:rPr>
                <w:b/>
                <w:sz w:val="22"/>
              </w:rPr>
              <w:t>Дата и время окончания срока предоставления участникам разъяснений положений документации о закупке:0</w:t>
            </w:r>
            <w:r>
              <w:rPr>
                <w:b/>
                <w:sz w:val="22"/>
              </w:rPr>
              <w:t>9</w:t>
            </w:r>
            <w:r>
              <w:rPr>
                <w:b/>
                <w:sz w:val="22"/>
              </w:rPr>
              <w:t>.02.2026 08:00 (время московское)</w:t>
            </w:r>
          </w:p>
          <w:p>
            <w:pPr>
              <w:pStyle w:val="Normal"/>
              <w:widowControl/>
              <w:jc w:val="both"/>
              <w:rPr>
                <w:sz w:val="22"/>
              </w:rPr>
            </w:pPr>
            <w:r>
              <w:rPr>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10"/>
              </w:numPr>
              <w:tabs>
                <w:tab w:val="clear" w:pos="720"/>
                <w:tab w:val="left" w:pos="0" w:leader="none"/>
              </w:tabs>
              <w:ind w:hanging="0" w:start="0" w:end="0"/>
              <w:rPr>
                <w:b/>
                <w:sz w:val="22"/>
              </w:rPr>
            </w:pPr>
            <w:r>
              <w:rPr>
                <w:b/>
                <w:sz w:val="22"/>
              </w:rPr>
            </w:r>
            <w:bookmarkStart w:id="145" w:name="_Ref55321047"/>
            <w:bookmarkStart w:id="146" w:name="_Ref55321047"/>
            <w:bookmarkEnd w:id="146"/>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Возможность снизить участником закупки заявленную им цену</w:t>
            </w:r>
          </w:p>
        </w:tc>
        <w:tc>
          <w:tcPr>
            <w:tcW w:w="8310" w:type="dxa"/>
            <w:tcBorders>
              <w:top w:val="single" w:sz="4" w:space="0" w:color="000000"/>
              <w:start w:val="single" w:sz="4" w:space="0" w:color="000000"/>
              <w:bottom w:val="single" w:sz="4" w:space="0" w:color="000000"/>
              <w:end w:val="single" w:sz="4" w:space="0" w:color="000000"/>
            </w:tcBorders>
          </w:tcPr>
          <w:p>
            <w:pPr>
              <w:pStyle w:val="Normal"/>
              <w:widowControl/>
              <w:jc w:val="both"/>
              <w:rPr>
                <w:i/>
                <w:i/>
                <w:color w:val="FF0000"/>
                <w:sz w:val="22"/>
              </w:rPr>
            </w:pPr>
            <w:r>
              <w:rPr>
                <w:sz w:val="22"/>
              </w:rPr>
              <w:t>Предусмотрено в срок до 12:00 0</w:t>
            </w:r>
            <w:r>
              <w:rPr>
                <w:sz w:val="22"/>
              </w:rPr>
              <w:t>9</w:t>
            </w:r>
            <w:r>
              <w:rPr>
                <w:sz w:val="22"/>
              </w:rPr>
              <w:t xml:space="preserve">.02.2026 </w:t>
            </w:r>
          </w:p>
          <w:p>
            <w:pPr>
              <w:pStyle w:val="Normal"/>
              <w:widowControl/>
              <w:jc w:val="both"/>
              <w:rPr>
                <w:sz w:val="22"/>
              </w:rPr>
            </w:pPr>
            <w:r>
              <w:rPr>
                <w:sz w:val="22"/>
              </w:rPr>
            </w:r>
          </w:p>
          <w:p>
            <w:pPr>
              <w:pStyle w:val="Normal"/>
              <w:widowControl/>
              <w:jc w:val="both"/>
              <w:rPr>
                <w:color w:val="FF0000"/>
                <w:sz w:val="22"/>
              </w:rPr>
            </w:pPr>
            <w:r>
              <w:rPr>
                <w:color w:val="FF0000"/>
                <w:sz w:val="22"/>
              </w:rPr>
            </w:r>
          </w:p>
          <w:p>
            <w:pPr>
              <w:pStyle w:val="Normal"/>
              <w:widowControl/>
              <w:jc w:val="both"/>
              <w:rPr>
                <w:sz w:val="22"/>
              </w:rPr>
            </w:pPr>
            <w:r>
              <w:rPr>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rvps11"/>
              <w:widowControl/>
              <w:numPr>
                <w:ilvl w:val="0"/>
                <w:numId w:val="10"/>
              </w:numPr>
              <w:ind w:hanging="0" w:start="0" w:end="0"/>
              <w:jc w:val="start"/>
              <w:rPr>
                <w:b/>
                <w:sz w:val="22"/>
              </w:rPr>
            </w:pPr>
            <w:r>
              <w:rPr>
                <w:b/>
                <w:sz w:val="22"/>
              </w:rPr>
            </w:r>
            <w:bookmarkStart w:id="147" w:name="_Ref55321529"/>
            <w:bookmarkStart w:id="148" w:name="_Ref55321529"/>
            <w:bookmarkEnd w:id="148"/>
          </w:p>
        </w:tc>
        <w:tc>
          <w:tcPr>
            <w:tcW w:w="2075" w:type="dxa"/>
            <w:tcBorders>
              <w:top w:val="single" w:sz="4" w:space="0" w:color="000000"/>
              <w:start w:val="single" w:sz="4" w:space="0" w:color="000000"/>
              <w:bottom w:val="single" w:sz="4" w:space="0" w:color="000000"/>
              <w:end w:val="single" w:sz="4" w:space="0" w:color="000000"/>
            </w:tcBorders>
            <w:shd w:fill="auto" w:val="clear"/>
          </w:tcPr>
          <w:p>
            <w:pPr>
              <w:pStyle w:val="Normal"/>
              <w:rPr>
                <w:b/>
                <w:sz w:val="22"/>
              </w:rPr>
            </w:pPr>
            <w:r>
              <w:rPr>
                <w:b/>
                <w:sz w:val="22"/>
              </w:rPr>
              <w:t>Порядок заключения договора</w:t>
            </w:r>
          </w:p>
        </w:tc>
        <w:tc>
          <w:tcPr>
            <w:tcW w:w="8310" w:type="dxa"/>
            <w:tcBorders>
              <w:top w:val="single" w:sz="4" w:space="0" w:color="000000"/>
              <w:start w:val="single" w:sz="4" w:space="0" w:color="000000"/>
              <w:bottom w:val="single" w:sz="4" w:space="0" w:color="000000"/>
              <w:end w:val="single" w:sz="4" w:space="0" w:color="000000"/>
            </w:tcBorders>
          </w:tcPr>
          <w:p>
            <w:pPr>
              <w:pStyle w:val="Header"/>
              <w:widowControl/>
              <w:jc w:val="both"/>
              <w:rPr>
                <w:sz w:val="22"/>
              </w:rPr>
            </w:pPr>
            <w:r>
              <w:rPr>
                <w:sz w:val="22"/>
              </w:rPr>
              <w:t>Договор заключается в электронной форме на ЭТП в соответствии с Регламентом работы ЭТП.</w:t>
            </w:r>
          </w:p>
        </w:tc>
      </w:tr>
      <w:tr>
        <w:trPr/>
        <w:tc>
          <w:tcPr>
            <w:tcW w:w="530" w:type="dxa"/>
            <w:tcBorders>
              <w:top w:val="single" w:sz="4" w:space="0" w:color="000000"/>
              <w:start w:val="single" w:sz="4" w:space="0" w:color="000000"/>
              <w:bottom w:val="single" w:sz="4" w:space="0" w:color="000000"/>
              <w:end w:val="single" w:sz="4" w:space="0" w:color="000000"/>
            </w:tcBorders>
          </w:tcPr>
          <w:p>
            <w:pPr>
              <w:pStyle w:val="rvps11"/>
              <w:widowControl/>
              <w:numPr>
                <w:ilvl w:val="0"/>
                <w:numId w:val="10"/>
              </w:numPr>
              <w:ind w:hanging="0" w:start="0" w:end="0"/>
              <w:jc w:val="start"/>
              <w:rPr>
                <w:b/>
                <w:sz w:val="22"/>
              </w:rPr>
            </w:pPr>
            <w:r>
              <w:rPr>
                <w:b/>
                <w:sz w:val="22"/>
              </w:rPr>
            </w:r>
            <w:bookmarkStart w:id="149" w:name="_Ref378846859"/>
            <w:bookmarkStart w:id="150" w:name="_Ref378846859"/>
            <w:bookmarkEnd w:id="150"/>
          </w:p>
        </w:tc>
        <w:tc>
          <w:tcPr>
            <w:tcW w:w="2075"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Подача альтернативных предложений</w:t>
            </w:r>
          </w:p>
        </w:tc>
        <w:tc>
          <w:tcPr>
            <w:tcW w:w="8310" w:type="dxa"/>
            <w:tcBorders>
              <w:top w:val="single" w:sz="4" w:space="0" w:color="000000"/>
              <w:start w:val="single" w:sz="4" w:space="0" w:color="000000"/>
              <w:bottom w:val="single" w:sz="4" w:space="0" w:color="000000"/>
              <w:end w:val="single" w:sz="4" w:space="0" w:color="000000"/>
            </w:tcBorders>
          </w:tcPr>
          <w:p>
            <w:pPr>
              <w:pStyle w:val="Default1"/>
              <w:widowControl/>
              <w:jc w:val="both"/>
              <w:rPr>
                <w:b/>
                <w:sz w:val="22"/>
              </w:rPr>
            </w:pPr>
            <w:r>
              <w:rPr>
                <w:b/>
                <w:sz w:val="22"/>
              </w:rPr>
              <w:t>Лот № 1</w:t>
            </w:r>
          </w:p>
          <w:p>
            <w:pPr>
              <w:pStyle w:val="Normal"/>
              <w:widowControl/>
              <w:jc w:val="both"/>
              <w:rPr>
                <w:sz w:val="22"/>
              </w:rPr>
            </w:pPr>
            <w:r>
              <w:rPr>
                <w:sz w:val="22"/>
              </w:rPr>
              <w:t>Не допускается</w:t>
            </w:r>
          </w:p>
          <w:p>
            <w:pPr>
              <w:pStyle w:val="Normal"/>
              <w:widowControl/>
              <w:jc w:val="both"/>
              <w:rPr>
                <w:i/>
                <w:i/>
                <w:color w:val="FF0000"/>
                <w:sz w:val="22"/>
              </w:rPr>
            </w:pPr>
            <w:r>
              <w:rPr>
                <w:i/>
                <w:color w:val="FF0000"/>
                <w:sz w:val="22"/>
              </w:rPr>
            </w:r>
          </w:p>
          <w:p>
            <w:pPr>
              <w:pStyle w:val="Default1"/>
              <w:widowControl/>
              <w:jc w:val="both"/>
              <w:rPr>
                <w:i/>
                <w:i/>
                <w:sz w:val="22"/>
              </w:rPr>
            </w:pPr>
            <w:r>
              <w:rPr>
                <w:i/>
                <w:sz w:val="22"/>
              </w:rPr>
            </w:r>
          </w:p>
        </w:tc>
      </w:tr>
      <w:tr>
        <w:trPr/>
        <w:tc>
          <w:tcPr>
            <w:tcW w:w="530" w:type="dxa"/>
            <w:tcBorders>
              <w:top w:val="single" w:sz="4" w:space="0" w:color="000000"/>
              <w:start w:val="single" w:sz="4" w:space="0" w:color="000000"/>
              <w:bottom w:val="single" w:sz="4" w:space="0" w:color="000000"/>
              <w:end w:val="single" w:sz="4" w:space="0" w:color="000000"/>
            </w:tcBorders>
          </w:tcPr>
          <w:p>
            <w:pPr>
              <w:pStyle w:val="rvps11"/>
              <w:widowControl/>
              <w:numPr>
                <w:ilvl w:val="0"/>
                <w:numId w:val="10"/>
              </w:numPr>
              <w:ind w:hanging="0" w:start="0" w:end="0"/>
              <w:jc w:val="start"/>
              <w:rPr>
                <w:b/>
                <w:sz w:val="22"/>
              </w:rPr>
            </w:pPr>
            <w:r>
              <w:rPr>
                <w:b/>
                <w:sz w:val="22"/>
              </w:rPr>
            </w:r>
            <w:bookmarkStart w:id="151" w:name="_Ref74684056"/>
            <w:bookmarkStart w:id="152" w:name="_Ref74684056"/>
            <w:bookmarkEnd w:id="152"/>
          </w:p>
        </w:tc>
        <w:tc>
          <w:tcPr>
            <w:tcW w:w="2075"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Антидемпинговые меры</w:t>
            </w:r>
          </w:p>
        </w:tc>
        <w:tc>
          <w:tcPr>
            <w:tcW w:w="8310" w:type="dxa"/>
            <w:tcBorders>
              <w:top w:val="single" w:sz="4" w:space="0" w:color="000000"/>
              <w:start w:val="single" w:sz="4" w:space="0" w:color="000000"/>
              <w:bottom w:val="single" w:sz="4" w:space="0" w:color="000000"/>
              <w:end w:val="single" w:sz="4" w:space="0" w:color="000000"/>
            </w:tcBorders>
          </w:tcPr>
          <w:p>
            <w:pPr>
              <w:pStyle w:val="Normal"/>
              <w:widowControl/>
              <w:jc w:val="both"/>
              <w:rPr>
                <w:sz w:val="22"/>
              </w:rPr>
            </w:pPr>
            <w:r>
              <w:rPr>
                <w:sz w:val="22"/>
              </w:rPr>
              <w:t>В случае если цена договора/цена за единицу продукции, предложенная участником в заявке, ниже НМЦ договора/НМЦед. более чем на _25 % , то участник должен :</w:t>
            </w:r>
          </w:p>
          <w:p>
            <w:pPr>
              <w:pStyle w:val="Normal"/>
              <w:widowControl/>
              <w:ind w:hanging="0" w:start="34" w:end="0"/>
              <w:jc w:val="both"/>
              <w:rPr>
                <w:sz w:val="22"/>
              </w:rPr>
            </w:pPr>
            <w:r>
              <w:rPr>
                <w:sz w:val="22"/>
              </w:rPr>
              <w:t xml:space="preserve"> </w:t>
            </w:r>
            <w:r>
              <w:rPr>
                <w:sz w:val="22"/>
              </w:rPr>
              <w:t xml:space="preserve">- предоставить обеспечение исполнения договора (в случае если настоящей документацией установлено требование о предоставлении обеспечения исполнения договора) в размере, превышающем в полтора раза размер обеспечения договора, указанный в п. </w:t>
            </w:r>
            <w:r>
              <w:rPr>
                <w:sz w:val="22"/>
              </w:rPr>
              <w:fldChar w:fldCharType="begin"/>
            </w:r>
            <w:r>
              <w:rPr>
                <w:sz w:val="22"/>
              </w:rPr>
              <w:instrText xml:space="preserve"> REF _Ref55321385 \r \r \h </w:instrText>
            </w:r>
            <w:r>
              <w:rPr>
                <w:sz w:val="22"/>
              </w:rPr>
              <w:fldChar w:fldCharType="separate"/>
            </w:r>
            <w:r>
              <w:rPr>
                <w:sz w:val="22"/>
              </w:rPr>
              <w:t>8</w:t>
            </w:r>
            <w:r>
              <w:rPr>
                <w:sz w:val="22"/>
              </w:rPr>
              <w:fldChar w:fldCharType="end"/>
            </w:r>
            <w:r>
              <w:rPr>
                <w:sz w:val="22"/>
              </w:rPr>
              <w:t xml:space="preserve"> раздела </w:t>
            </w:r>
            <w:hyperlink w:anchor="_РАЗДЕЛ_II._ИНФОРМАЦИОННАЯ_1">
              <w:r>
                <w:rPr>
                  <w:rStyle w:val="Style4"/>
                  <w:sz w:val="22"/>
                </w:rPr>
                <w:t>II</w:t>
              </w:r>
              <w:r>
                <w:rPr>
                  <w:rStyle w:val="Style4"/>
                  <w:sz w:val="22"/>
                </w:rPr>
                <w:t xml:space="preserve"> «ИНФОРМАЦИОННАЯ КАРТА»</w:t>
              </w:r>
            </w:hyperlink>
            <w:r>
              <w:rPr>
                <w:sz w:val="22"/>
              </w:rPr>
              <w:t xml:space="preserve"> документации. Участник закупки, не выполнивший данного требования, признается уклонившимся от заключения договора, в случае если предоставление обеспечения исполнения договора требуется в срок до подписания договора.</w:t>
            </w:r>
          </w:p>
          <w:p>
            <w:pPr>
              <w:pStyle w:val="Default1"/>
              <w:widowControl/>
              <w:jc w:val="both"/>
              <w:rPr>
                <w:b/>
                <w:sz w:val="22"/>
              </w:rPr>
            </w:pPr>
            <w:r>
              <w:rPr>
                <w:sz w:val="22"/>
              </w:rPr>
              <w:t xml:space="preserve"> </w:t>
            </w:r>
            <w:r>
              <w:rPr>
                <w:sz w:val="22"/>
              </w:rPr>
              <w:t>- 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Запрос направляется Заказчиком посредством ЭТП. 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по предложенной в заявке цене. 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В случае если Заказчиком установлено требование о предоставлении обоснования предлагаемой цены договора (единицы продукции), как указано в настоящем пункте выше,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r>
        <w:trPr/>
        <w:tc>
          <w:tcPr>
            <w:tcW w:w="530" w:type="dxa"/>
            <w:tcBorders>
              <w:top w:val="single" w:sz="4" w:space="0" w:color="000000"/>
              <w:start w:val="single" w:sz="4" w:space="0" w:color="000000"/>
              <w:bottom w:val="single" w:sz="4" w:space="0" w:color="000000"/>
              <w:end w:val="single" w:sz="4" w:space="0" w:color="000000"/>
            </w:tcBorders>
          </w:tcPr>
          <w:p>
            <w:pPr>
              <w:pStyle w:val="rvps11"/>
              <w:widowControl/>
              <w:numPr>
                <w:ilvl w:val="0"/>
                <w:numId w:val="10"/>
              </w:numPr>
              <w:ind w:hanging="0" w:start="0" w:end="0"/>
              <w:jc w:val="start"/>
              <w:rPr>
                <w:b/>
                <w:sz w:val="22"/>
              </w:rPr>
            </w:pPr>
            <w:r>
              <w:rPr>
                <w:b/>
                <w:sz w:val="22"/>
              </w:rPr>
            </w:r>
            <w:bookmarkStart w:id="153" w:name="_Ref55322174"/>
            <w:bookmarkStart w:id="154" w:name="_Ref55322174"/>
            <w:bookmarkEnd w:id="154"/>
          </w:p>
        </w:tc>
        <w:tc>
          <w:tcPr>
            <w:tcW w:w="2075"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Особенности заключения рамочного договора по результатам закупки</w:t>
            </w:r>
          </w:p>
        </w:tc>
        <w:tc>
          <w:tcPr>
            <w:tcW w:w="8310" w:type="dxa"/>
            <w:tcBorders>
              <w:top w:val="single" w:sz="4" w:space="0" w:color="000000"/>
              <w:start w:val="single" w:sz="4" w:space="0" w:color="000000"/>
              <w:bottom w:val="single" w:sz="4" w:space="0" w:color="000000"/>
              <w:end w:val="single" w:sz="4" w:space="0" w:color="000000"/>
            </w:tcBorders>
          </w:tcPr>
          <w:p>
            <w:pPr>
              <w:pStyle w:val="Normal"/>
              <w:widowControl/>
              <w:jc w:val="both"/>
              <w:rPr>
                <w:sz w:val="22"/>
              </w:rPr>
            </w:pPr>
            <w:r>
              <w:rPr>
                <w:sz w:val="22"/>
              </w:rPr>
            </w:r>
          </w:p>
          <w:p>
            <w:pPr>
              <w:pStyle w:val="ListParagraph1"/>
              <w:widowControl/>
              <w:numPr>
                <w:ilvl w:val="0"/>
                <w:numId w:val="12"/>
              </w:numPr>
              <w:tabs>
                <w:tab w:val="clear" w:pos="720"/>
                <w:tab w:val="left" w:pos="341" w:leader="none"/>
                <w:tab w:val="left" w:pos="1004" w:leader="none"/>
              </w:tabs>
              <w:ind w:firstLine="603" w:start="0" w:end="0"/>
              <w:jc w:val="both"/>
              <w:rPr>
                <w:i/>
                <w:i/>
                <w:color w:val="FF0000"/>
                <w:sz w:val="22"/>
              </w:rPr>
            </w:pPr>
            <w:r>
              <w:rPr>
                <w:sz w:val="22"/>
              </w:rPr>
              <w:t xml:space="preserve">Предельная общая цена договора, заключаемого по результатам закупки, будет определяться путем произведения основного коэффициента снижения, предложенного участником, с которым заключается договор, на НМЦ договора, указанную в п. </w:t>
            </w:r>
            <w:r>
              <w:rPr>
                <w:sz w:val="22"/>
              </w:rPr>
              <w:fldChar w:fldCharType="begin"/>
            </w:r>
            <w:r>
              <w:rPr>
                <w:sz w:val="22"/>
              </w:rPr>
              <w:instrText xml:space="preserve"> REF _Ref55316445 \r \r \h </w:instrText>
            </w:r>
            <w:r>
              <w:rPr>
                <w:sz w:val="22"/>
              </w:rPr>
              <w:fldChar w:fldCharType="separate"/>
            </w:r>
            <w:r>
              <w:rPr>
                <w:sz w:val="22"/>
              </w:rPr>
              <w:t>6</w:t>
            </w:r>
            <w:r>
              <w:rPr>
                <w:sz w:val="22"/>
              </w:rPr>
              <w:fldChar w:fldCharType="end"/>
            </w:r>
            <w:r>
              <w:rPr>
                <w:sz w:val="22"/>
              </w:rPr>
              <w:t xml:space="preserve"> раздела </w:t>
            </w:r>
            <w:hyperlink w:anchor="_РАЗДЕЛ_II._ИНФОРМАЦИОННАЯ_1">
              <w:r>
                <w:rPr>
                  <w:rStyle w:val="Style4"/>
                  <w:sz w:val="22"/>
                </w:rPr>
                <w:t>II</w:t>
              </w:r>
              <w:r>
                <w:rPr>
                  <w:rStyle w:val="Style4"/>
                  <w:sz w:val="22"/>
                </w:rPr>
                <w:t xml:space="preserve"> «ИНФОРМАЦИОННАЯ КАРТА»</w:t>
              </w:r>
            </w:hyperlink>
            <w:r>
              <w:rPr>
                <w:sz w:val="22"/>
              </w:rPr>
              <w:t xml:space="preserve"> документации.</w:t>
            </w:r>
          </w:p>
          <w:p>
            <w:pPr>
              <w:pStyle w:val="ListParagraph1"/>
              <w:widowControl/>
              <w:numPr>
                <w:ilvl w:val="0"/>
                <w:numId w:val="12"/>
              </w:numPr>
              <w:tabs>
                <w:tab w:val="clear" w:pos="720"/>
                <w:tab w:val="left" w:pos="341" w:leader="none"/>
                <w:tab w:val="left" w:pos="1004" w:leader="none"/>
              </w:tabs>
              <w:ind w:firstLine="603" w:start="0" w:end="0"/>
              <w:jc w:val="both"/>
              <w:rPr>
                <w:sz w:val="22"/>
              </w:rPr>
            </w:pPr>
            <w:r>
              <w:rPr>
                <w:sz w:val="22"/>
              </w:rPr>
              <w:t xml:space="preserve">Цена единицы товара (работы, услуги) в договоре, заключаемом по итогам закупки, определяется путем произведения НМЦ каждой единицы товара (работы, услуги), указанной в п. </w:t>
            </w:r>
            <w:r>
              <w:rPr>
                <w:sz w:val="22"/>
              </w:rPr>
              <w:fldChar w:fldCharType="begin"/>
            </w:r>
            <w:r>
              <w:rPr>
                <w:sz w:val="22"/>
              </w:rPr>
              <w:instrText xml:space="preserve"> REF _Ref55316445 \r \r \h </w:instrText>
            </w:r>
            <w:r>
              <w:rPr>
                <w:sz w:val="22"/>
              </w:rPr>
              <w:fldChar w:fldCharType="separate"/>
            </w:r>
            <w:r>
              <w:rPr>
                <w:sz w:val="22"/>
              </w:rPr>
              <w:t>6</w:t>
            </w:r>
            <w:r>
              <w:rPr>
                <w:sz w:val="22"/>
              </w:rPr>
              <w:fldChar w:fldCharType="end"/>
            </w:r>
            <w:r>
              <w:rPr>
                <w:sz w:val="22"/>
              </w:rPr>
              <w:t xml:space="preserve"> раздела </w:t>
            </w:r>
            <w:hyperlink w:anchor="_РАЗДЕЛ_II._ИНФОРМАЦИОННАЯ_1">
              <w:r>
                <w:rPr>
                  <w:rStyle w:val="Style4"/>
                  <w:sz w:val="22"/>
                </w:rPr>
                <w:t>II</w:t>
              </w:r>
              <w:r>
                <w:rPr>
                  <w:rStyle w:val="Style4"/>
                  <w:sz w:val="22"/>
                </w:rPr>
                <w:t xml:space="preserve"> «ИНФОРМАЦИОННАЯ КАРТА»</w:t>
              </w:r>
            </w:hyperlink>
            <w:r>
              <w:rPr>
                <w:sz w:val="22"/>
              </w:rPr>
              <w:t xml:space="preserve"> документации, на основной и дополнительный (при наличии) коэффициенты снижения, предложенные участником, с которым заключается договор.</w:t>
            </w:r>
          </w:p>
          <w:p>
            <w:pPr>
              <w:pStyle w:val="ListParagraph1"/>
              <w:widowControl/>
              <w:numPr>
                <w:ilvl w:val="0"/>
                <w:numId w:val="12"/>
              </w:numPr>
              <w:ind w:firstLine="603" w:start="0" w:end="0"/>
              <w:jc w:val="both"/>
              <w:rPr>
                <w:sz w:val="22"/>
              </w:rPr>
            </w:pPr>
            <w:r>
              <w:rPr>
                <w:sz w:val="22"/>
              </w:rPr>
              <w:t>Оплата по договору будет осуществляться, исходя из количества (объема) фактически поставленных товаров (выполненных работ, оказанных услуг), в размере, не превышающем предельную общую стоимость заключаемого договора. Заказчик не обязан приобретать товары (работы, услуги) на всю предельную общую стоимость заключаемого договора.</w:t>
            </w:r>
          </w:p>
          <w:p>
            <w:pPr>
              <w:pStyle w:val="ListParagraph1"/>
              <w:widowControl/>
              <w:numPr>
                <w:ilvl w:val="0"/>
                <w:numId w:val="12"/>
              </w:numPr>
              <w:ind w:firstLine="603" w:start="0" w:end="0"/>
              <w:jc w:val="both"/>
              <w:rPr>
                <w:sz w:val="22"/>
              </w:rPr>
            </w:pPr>
            <w:r>
              <w:rPr>
                <w:sz w:val="22"/>
              </w:rPr>
              <w:t>Поставка товара (выполнение работ, оказание услуг) будет осуществляться на основании заказов, согласованных и подписанных сторонами по договору. Стоимость заказа будет определяться на основании цен за единицу товара (работы, услуги), согласованных сторонами в заказе, при этом цены за единицу товара (работы, услуги) не должны превышать цены за единицу товара (работы, услуги), определенные в договоре.</w:t>
            </w:r>
            <w:r>
              <w:rPr>
                <w:rStyle w:val="FootnoteReference"/>
                <w:sz w:val="22"/>
              </w:rPr>
              <w:footnoteReference w:id="2"/>
            </w:r>
          </w:p>
        </w:tc>
      </w:tr>
    </w:tbl>
    <w:p>
      <w:pPr>
        <w:pStyle w:val="Heading1"/>
        <w:keepLines w:val="false"/>
        <w:widowControl/>
        <w:tabs>
          <w:tab w:val="clear" w:pos="720"/>
          <w:tab w:val="left" w:pos="6424" w:leader="none"/>
        </w:tabs>
        <w:spacing w:before="0" w:after="120"/>
        <w:jc w:val="both"/>
        <w:rPr>
          <w:b w:val="false"/>
          <w:sz w:val="2"/>
        </w:rPr>
      </w:pPr>
      <w:r>
        <w:br w:type="page"/>
      </w:r>
      <w:bookmarkStart w:id="155" w:name="__RefHeading___39"/>
      <w:bookmarkStart w:id="156" w:name="форма1"/>
      <w:bookmarkStart w:id="157" w:name="_2.3._Требования_к"/>
      <w:bookmarkStart w:id="158" w:name="_2.2._Требования_к"/>
      <w:bookmarkStart w:id="159" w:name="_2.4._Критерии_и"/>
      <w:bookmarkStart w:id="160" w:name="_2.3._Условия_заключения"/>
      <w:bookmarkStart w:id="161" w:name="_РАЗДЕЛ_III._ФОРМЫ"/>
      <w:bookmarkEnd w:id="155"/>
      <w:bookmarkEnd w:id="157"/>
      <w:bookmarkEnd w:id="158"/>
      <w:bookmarkEnd w:id="159"/>
      <w:bookmarkEnd w:id="160"/>
      <w:bookmarkEnd w:id="161"/>
      <w:r>
        <w:rPr>
          <w:rFonts w:ascii="Times New Roman" w:hAnsi="Times New Roman"/>
          <w:color w:val="17365D"/>
        </w:rPr>
        <w:t>РАЗДЕЛ III. ФОРМЫ ДЛЯ ЗАПОЛНЕНИЯ УЧАСТНИКАМИ ЗАКУПКИ</w:t>
      </w:r>
      <w:r>
        <w:rPr>
          <w:b w:val="false"/>
        </w:rPr>
        <w:t xml:space="preserve"> </w:t>
      </w:r>
      <w:bookmarkEnd w:id="156"/>
    </w:p>
    <w:p>
      <w:pPr>
        <w:pStyle w:val="Heading1"/>
        <w:keepLines w:val="false"/>
        <w:widowControl/>
        <w:spacing w:before="240" w:after="120"/>
        <w:ind w:hanging="360" w:start="792" w:end="0"/>
        <w:jc w:val="both"/>
        <w:rPr>
          <w:rFonts w:ascii="Times New Roman" w:hAnsi="Times New Roman"/>
          <w:color w:val="548DD4"/>
        </w:rPr>
      </w:pPr>
      <w:bookmarkStart w:id="162" w:name="__RefHeading___40"/>
      <w:bookmarkStart w:id="163" w:name="_Форма_2_АНКЕТА"/>
      <w:bookmarkStart w:id="164" w:name="_Форма_1_ЗАЯВКА"/>
      <w:bookmarkEnd w:id="162"/>
      <w:bookmarkEnd w:id="163"/>
      <w:bookmarkEnd w:id="164"/>
      <w:r>
        <w:rPr>
          <w:rFonts w:ascii="Times New Roman" w:hAnsi="Times New Roman"/>
          <w:color w:val="548DD4"/>
        </w:rPr>
        <w:t>Форма 1 АНКЕТА УЧАСТНИКА ЗАПРОСА ЦЕН</w:t>
      </w:r>
    </w:p>
    <w:p>
      <w:pPr>
        <w:pStyle w:val="Normal"/>
        <w:rPr/>
      </w:pPr>
      <w:r>
        <w:rPr/>
        <w:t>Приложение к заявке от «___» __________ 20___ г. № ______</w:t>
      </w:r>
    </w:p>
    <w:p>
      <w:pPr>
        <w:pStyle w:val="Normal"/>
        <w:rPr/>
      </w:pPr>
      <w:r>
        <w:rPr/>
      </w:r>
    </w:p>
    <w:p>
      <w:pPr>
        <w:pStyle w:val="Normal"/>
        <w:rPr/>
      </w:pPr>
      <w:r>
        <w:rPr/>
        <w:t xml:space="preserve">Запрос цен в электронной форме на право заключения договора </w:t>
      </w:r>
    </w:p>
    <w:p>
      <w:pPr>
        <w:pStyle w:val="Normal"/>
        <w:rPr/>
      </w:pPr>
      <w:r>
        <w:rPr/>
        <w:t>на ________________________________________________</w:t>
      </w:r>
    </w:p>
    <w:p>
      <w:pPr>
        <w:pStyle w:val="Normal"/>
        <w:rPr/>
      </w:pPr>
      <w:r>
        <w:rPr/>
      </w:r>
    </w:p>
    <w:p>
      <w:pPr>
        <w:pStyle w:val="rvps11"/>
        <w:rPr/>
      </w:pPr>
      <w:bookmarkStart w:id="165" w:name="_Анкета_Претендента_на"/>
      <w:bookmarkStart w:id="166" w:name="_Анкета_Участника_процедуры"/>
      <w:bookmarkEnd w:id="165"/>
      <w:bookmarkEnd w:id="166"/>
      <w:r>
        <w:rPr/>
        <w:t>АНКЕТА УЧАСТНИКА ЗАПРОСА ЦЕН</w:t>
      </w:r>
    </w:p>
    <w:p>
      <w:pPr>
        <w:pStyle w:val="Normal"/>
        <w:rPr>
          <w:sz w:val="10"/>
        </w:rPr>
      </w:pPr>
      <w:r>
        <w:rPr>
          <w:sz w:val="10"/>
        </w:rPr>
      </w:r>
    </w:p>
    <w:tbl>
      <w:tblPr>
        <w:tblW w:w="10205" w:type="dxa"/>
        <w:jc w:val="start"/>
        <w:tblInd w:w="0" w:type="dxa"/>
        <w:tblLayout w:type="fixed"/>
        <w:tblCellMar>
          <w:top w:w="0" w:type="dxa"/>
          <w:start w:w="108" w:type="dxa"/>
          <w:bottom w:w="0" w:type="dxa"/>
          <w:end w:w="108" w:type="dxa"/>
        </w:tblCellMar>
      </w:tblPr>
      <w:tblGrid>
        <w:gridCol w:w="622"/>
        <w:gridCol w:w="6123"/>
        <w:gridCol w:w="3460"/>
      </w:tblGrid>
      <w:tr>
        <w:trPr>
          <w:tblHeader w:val="true"/>
          <w:trHeight w:val="240" w:hRule="atLeast"/>
        </w:trPr>
        <w:tc>
          <w:tcPr>
            <w:tcW w:w="622"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widowControl/>
              <w:jc w:val="center"/>
              <w:rPr>
                <w:b/>
              </w:rPr>
            </w:pPr>
            <w:r>
              <w:rPr>
                <w:b/>
              </w:rPr>
              <w:t>№</w:t>
            </w:r>
          </w:p>
        </w:tc>
        <w:tc>
          <w:tcPr>
            <w:tcW w:w="6123"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widowControl/>
              <w:jc w:val="center"/>
              <w:rPr>
                <w:b/>
              </w:rPr>
            </w:pPr>
            <w:r>
              <w:rPr>
                <w:b/>
              </w:rPr>
              <w:t>Наименование</w:t>
            </w:r>
          </w:p>
        </w:tc>
        <w:tc>
          <w:tcPr>
            <w:tcW w:w="3460"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widowControl/>
              <w:jc w:val="center"/>
              <w:rPr>
                <w:b/>
              </w:rPr>
            </w:pPr>
            <w:r>
              <w:rPr>
                <w:b/>
              </w:rPr>
              <w:t>Сведения об участнике запроса цен</w:t>
            </w:r>
          </w:p>
        </w:tc>
      </w:tr>
      <w:tr>
        <w:trPr>
          <w:trHeight w:val="471"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Revision1"/>
              <w:rPr/>
            </w:pPr>
            <w:r>
              <w:rPr/>
              <w:t>1.</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2.</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Организационно-правовая форма</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3.</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Учредители (перечислить наименования и организационно-правовую форму или Ф.И.О. всех учредителей)</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4.</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5.</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Виды деятельности</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6.</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Срок деятельности (с учетом правопреемственности)</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7.</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ИНН, дата постановки на учет в налоговом органе,</w:t>
            </w:r>
          </w:p>
          <w:p>
            <w:pPr>
              <w:pStyle w:val="Normal"/>
              <w:rPr/>
            </w:pPr>
            <w:r>
              <w:rPr/>
              <w:t>КПП, ОГРН, ОКПО, ОКОПФ, ОКТМО</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8.</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9.</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Почтовый адрес (страна, адрес)</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10.</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Телефоны (с указанием кода города)</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11.</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Факс (с указанием кода города)</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12.</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Адрес электронной почты</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13.</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Филиалы: перечислить наименования и почтовые адреса</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284" w:hRule="atLeast"/>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14.</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Размер уставного капитала</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15.</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Балансовая стоимость активов  (по балансу последнего завершенного периода)</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16.</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17.</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18.</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19.</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Ф.И.О. уполномоченного лица участника с указанием должности, контактного телефона, электронной почты</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20.</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Численность персонала</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21.</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Сведения об отнесении участника к Субъектам МСП</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c>
          <w:tcPr>
            <w:tcW w:w="622" w:type="dxa"/>
            <w:tcBorders>
              <w:top w:val="single" w:sz="4" w:space="0" w:color="000000"/>
              <w:start w:val="single" w:sz="4" w:space="0" w:color="000000"/>
              <w:bottom w:val="single" w:sz="4" w:space="0" w:color="000000"/>
              <w:end w:val="single" w:sz="4" w:space="0" w:color="000000"/>
            </w:tcBorders>
            <w:vAlign w:val="center"/>
          </w:tcPr>
          <w:p>
            <w:pPr>
              <w:pStyle w:val="Normal"/>
              <w:rPr/>
            </w:pPr>
            <w:r>
              <w:rPr/>
              <w:t>22.</w:t>
            </w:r>
          </w:p>
        </w:tc>
        <w:tc>
          <w:tcPr>
            <w:tcW w:w="6123"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Сведения об отнесении участника к организации, применяющей упрощённую систему налогообложения</w:t>
            </w:r>
          </w:p>
        </w:tc>
        <w:tc>
          <w:tcPr>
            <w:tcW w:w="3460" w:type="dxa"/>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bl>
    <w:p>
      <w:pPr>
        <w:pStyle w:val="Normal"/>
        <w:rPr>
          <w:color w:val="808080"/>
        </w:rPr>
      </w:pPr>
      <w:r>
        <w:rPr>
          <w:color w:val="808080"/>
        </w:rPr>
      </w:r>
    </w:p>
    <w:p>
      <w:pPr>
        <w:pStyle w:val="Normal"/>
        <w:rPr>
          <w:color w:val="808080"/>
        </w:rPr>
      </w:pPr>
      <w:r>
        <w:rPr>
          <w:color w:val="808080"/>
        </w:rPr>
        <w:t>ИНСТРУКЦИИ ПО ЗАПОЛНЕНИЮ:</w:t>
      </w:r>
    </w:p>
    <w:p>
      <w:pPr>
        <w:pStyle w:val="Normal"/>
        <w:widowControl/>
        <w:jc w:val="both"/>
        <w:rPr>
          <w:color w:val="808080"/>
        </w:rPr>
      </w:pPr>
      <w:r>
        <w:rPr>
          <w:color w:val="808080"/>
        </w:rPr>
        <w:t>1. Данные инструкции не следует воспроизводить в документах, подготовленных участником.</w:t>
      </w:r>
    </w:p>
    <w:p>
      <w:pPr>
        <w:pStyle w:val="Normal"/>
        <w:widowControl/>
        <w:jc w:val="both"/>
        <w:rPr>
          <w:color w:val="808080"/>
        </w:rPr>
      </w:pPr>
      <w:r>
        <w:rPr>
          <w:color w:val="808080"/>
        </w:rPr>
        <w:t xml:space="preserve">2. Участник приводит номер и дату заявки, приложением к которой является данная анкета участника. </w:t>
      </w:r>
    </w:p>
    <w:p>
      <w:pPr>
        <w:pStyle w:val="Normal"/>
        <w:widowControl/>
        <w:jc w:val="both"/>
        <w:rPr>
          <w:color w:val="808080"/>
        </w:rPr>
      </w:pPr>
      <w:r>
        <w:rPr>
          <w:color w:val="808080"/>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pPr>
        <w:pStyle w:val="Normal"/>
        <w:widowControl/>
        <w:jc w:val="both"/>
        <w:rPr>
          <w:color w:val="808080"/>
        </w:rPr>
      </w:pPr>
      <w:r>
        <w:rPr>
          <w:color w:val="808080"/>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pPr>
        <w:sectPr>
          <w:headerReference w:type="even" r:id="rId24"/>
          <w:headerReference w:type="default" r:id="rId25"/>
          <w:headerReference w:type="first" r:id="rId26"/>
          <w:footnotePr>
            <w:numFmt w:val="decimal"/>
          </w:footnotePr>
          <w:type w:val="nextPage"/>
          <w:pgSz w:w="11906" w:h="16838"/>
          <w:pgMar w:left="1134" w:right="567" w:gutter="0" w:header="720" w:top="851" w:footer="0" w:bottom="567"/>
          <w:pgNumType w:fmt="decimal"/>
          <w:formProt w:val="false"/>
          <w:titlePg/>
          <w:textDirection w:val="lrTb"/>
          <w:docGrid w:type="default" w:linePitch="100" w:charSpace="0"/>
        </w:sectPr>
        <w:pStyle w:val="Normal"/>
        <w:widowControl/>
        <w:jc w:val="both"/>
        <w:rPr>
          <w:color w:val="808080"/>
        </w:rPr>
      </w:pPr>
      <w:r>
        <w:rPr>
          <w:color w:val="808080"/>
        </w:rPr>
        <w:t>5. Если заявка подается группой лиц, то анкета заполняется каждым лицом, включенным в такую группу.</w:t>
      </w:r>
      <w:r>
        <w:br w:type="page"/>
      </w:r>
    </w:p>
    <w:p>
      <w:pPr>
        <w:pStyle w:val="Heading1"/>
        <w:keepLines w:val="false"/>
        <w:widowControl/>
        <w:spacing w:before="0" w:after="120"/>
        <w:ind w:hanging="360" w:start="792" w:end="0"/>
        <w:jc w:val="both"/>
        <w:rPr>
          <w:rFonts w:ascii="Times New Roman" w:hAnsi="Times New Roman"/>
          <w:color w:val="548DD4"/>
        </w:rPr>
      </w:pPr>
      <w:bookmarkStart w:id="167" w:name="__RefHeading___41"/>
      <w:bookmarkStart w:id="168" w:name="_Форма_3_ТЕХНИКО-КОММЕРЧЕСКОЕ"/>
      <w:bookmarkStart w:id="169" w:name="_Форма_3_ТЕХНИКО-КОММЕРЧЕСКОЕ_1"/>
      <w:bookmarkEnd w:id="167"/>
      <w:bookmarkEnd w:id="168"/>
      <w:bookmarkEnd w:id="169"/>
      <w:r>
        <w:rPr>
          <w:rFonts w:ascii="Times New Roman" w:hAnsi="Times New Roman"/>
          <w:color w:val="548DD4"/>
        </w:rPr>
        <w:t>Форма 2 ТЕХНИКО-КОММЕРЧЕСКОЕ ПРЕДЛОЖЕНИЕ</w:t>
      </w:r>
    </w:p>
    <w:p>
      <w:pPr>
        <w:pStyle w:val="Normal"/>
        <w:rPr/>
      </w:pPr>
      <w:r>
        <w:rPr/>
      </w:r>
    </w:p>
    <w:p>
      <w:pPr>
        <w:pStyle w:val="Normal"/>
        <w:rPr/>
      </w:pPr>
      <w:r>
        <w:rPr/>
        <w:t xml:space="preserve">Приложение к заявке на участие в запросе цен от «___» __________ 20___ г. </w:t>
      </w:r>
    </w:p>
    <w:p>
      <w:pPr>
        <w:pStyle w:val="Normal"/>
        <w:rPr/>
      </w:pPr>
      <w:r>
        <w:rPr/>
        <w:t xml:space="preserve">№ </w:t>
      </w:r>
      <w:r>
        <w:rPr/>
        <w:t>______</w:t>
      </w:r>
    </w:p>
    <w:p>
      <w:pPr>
        <w:pStyle w:val="Normal"/>
        <w:rPr/>
      </w:pPr>
      <w:r>
        <w:rPr/>
        <w:t xml:space="preserve">Участник запроса цен: ________________________________ </w:t>
      </w:r>
    </w:p>
    <w:p>
      <w:pPr>
        <w:pStyle w:val="Normal"/>
        <w:rPr/>
      </w:pPr>
      <w:r>
        <w:rPr/>
      </w:r>
    </w:p>
    <w:p>
      <w:pPr>
        <w:pStyle w:val="Normal"/>
        <w:rPr/>
      </w:pPr>
      <w:r>
        <w:rPr/>
      </w:r>
    </w:p>
    <w:p>
      <w:pPr>
        <w:pStyle w:val="rvps11"/>
        <w:rPr/>
      </w:pPr>
      <w:bookmarkStart w:id="170" w:name="_Техническое_предложение_(Форма"/>
      <w:bookmarkEnd w:id="170"/>
      <w:r>
        <w:rPr/>
        <w:t>ТЕХНИКО-КОММЕРЧЕСКОЕ ПРЕДЛОЖЕНИЕ</w:t>
      </w:r>
    </w:p>
    <w:p>
      <w:pPr>
        <w:pStyle w:val="Normal"/>
        <w:rPr/>
      </w:pPr>
      <w:r>
        <w:rPr/>
      </w:r>
    </w:p>
    <w:p>
      <w:pPr>
        <w:pStyle w:val="Normal"/>
        <w:widowControl/>
        <w:jc w:val="both"/>
        <w:rPr>
          <w:sz w:val="22"/>
        </w:rPr>
      </w:pPr>
      <w:r>
        <w:rPr>
          <w:sz w:val="22"/>
        </w:rPr>
        <w:t xml:space="preserve">Настоящим предлагаем </w:t>
      </w:r>
      <w:r>
        <w:rPr>
          <w:b/>
          <w:sz w:val="22"/>
        </w:rPr>
        <w:t>поставить товары</w:t>
      </w:r>
      <w:r>
        <w:rPr>
          <w:sz w:val="22"/>
        </w:rPr>
        <w:t xml:space="preserve"> в соответствии с требованиями, изложенными в Разделах IV «ТЕХНИЧЕСКОЕ ЗАДАНИЕ» и V. «ПРОЕКТ ДОГОВОРА» документации о проведении запроса цен, на следующих условиях:</w:t>
      </w:r>
    </w:p>
    <w:p>
      <w:pPr>
        <w:pStyle w:val="Normal"/>
        <w:widowControl/>
        <w:jc w:val="both"/>
        <w:rPr>
          <w:sz w:val="22"/>
        </w:rPr>
      </w:pPr>
      <w:r>
        <w:rPr>
          <w:sz w:val="22"/>
        </w:rPr>
      </w:r>
    </w:p>
    <w:tbl>
      <w:tblPr>
        <w:tblW w:w="15451" w:type="dxa"/>
        <w:jc w:val="start"/>
        <w:tblInd w:w="-5" w:type="dxa"/>
        <w:tblLayout w:type="fixed"/>
        <w:tblCellMar>
          <w:top w:w="0" w:type="dxa"/>
          <w:start w:w="108" w:type="dxa"/>
          <w:bottom w:w="0" w:type="dxa"/>
          <w:end w:w="108" w:type="dxa"/>
        </w:tblCellMar>
      </w:tblPr>
      <w:tblGrid>
        <w:gridCol w:w="820"/>
        <w:gridCol w:w="4396"/>
        <w:gridCol w:w="10235"/>
      </w:tblGrid>
      <w:tr>
        <w:trPr>
          <w:tblHeader w:val="true"/>
          <w:trHeight w:val="632" w:hRule="atLeast"/>
        </w:trPr>
        <w:tc>
          <w:tcPr>
            <w:tcW w:w="820" w:type="dxa"/>
            <w:tcBorders>
              <w:top w:val="single" w:sz="4" w:space="0" w:color="000000"/>
              <w:start w:val="single" w:sz="4" w:space="0" w:color="000000"/>
              <w:bottom w:val="single" w:sz="4" w:space="0" w:color="000000"/>
              <w:end w:val="single" w:sz="4" w:space="0" w:color="000000"/>
            </w:tcBorders>
            <w:vAlign w:val="center"/>
          </w:tcPr>
          <w:p>
            <w:pPr>
              <w:pStyle w:val="Normal"/>
              <w:keepNext w:val="true"/>
              <w:widowControl/>
              <w:ind w:hanging="0" w:start="-57" w:end="-57"/>
              <w:jc w:val="center"/>
              <w:rPr>
                <w:b/>
                <w:sz w:val="22"/>
              </w:rPr>
            </w:pPr>
            <w:r>
              <w:rPr>
                <w:b/>
                <w:sz w:val="22"/>
              </w:rPr>
              <w:t xml:space="preserve">№ </w:t>
            </w:r>
            <w:r>
              <w:rPr>
                <w:b/>
                <w:sz w:val="22"/>
              </w:rPr>
              <w:t>п/п</w:t>
            </w:r>
          </w:p>
        </w:tc>
        <w:tc>
          <w:tcPr>
            <w:tcW w:w="4396" w:type="dxa"/>
            <w:tcBorders>
              <w:top w:val="single" w:sz="4" w:space="0" w:color="000000"/>
              <w:start w:val="single" w:sz="4" w:space="0" w:color="000000"/>
              <w:bottom w:val="single" w:sz="4" w:space="0" w:color="000000"/>
              <w:end w:val="single" w:sz="4" w:space="0" w:color="000000"/>
            </w:tcBorders>
            <w:vAlign w:val="center"/>
          </w:tcPr>
          <w:p>
            <w:pPr>
              <w:pStyle w:val="Normal"/>
              <w:keepNext w:val="true"/>
              <w:widowControl/>
              <w:ind w:hanging="0" w:start="-57" w:end="-57"/>
              <w:jc w:val="center"/>
              <w:rPr>
                <w:b/>
                <w:sz w:val="22"/>
              </w:rPr>
            </w:pPr>
            <w:r>
              <w:rPr>
                <w:b/>
                <w:sz w:val="22"/>
              </w:rPr>
              <w:t>Условия заявки на участие в закупке</w:t>
            </w:r>
          </w:p>
        </w:tc>
        <w:tc>
          <w:tcPr>
            <w:tcW w:w="10235" w:type="dxa"/>
            <w:tcBorders>
              <w:top w:val="single" w:sz="4" w:space="0" w:color="000000"/>
              <w:start w:val="single" w:sz="4" w:space="0" w:color="000000"/>
              <w:bottom w:val="single" w:sz="4" w:space="0" w:color="000000"/>
              <w:end w:val="single" w:sz="4" w:space="0" w:color="000000"/>
            </w:tcBorders>
            <w:vAlign w:val="center"/>
          </w:tcPr>
          <w:p>
            <w:pPr>
              <w:pStyle w:val="Normal"/>
              <w:keepNext w:val="true"/>
              <w:widowControl/>
              <w:ind w:hanging="0" w:start="57" w:end="57"/>
              <w:jc w:val="center"/>
              <w:rPr>
                <w:b/>
                <w:sz w:val="22"/>
              </w:rPr>
            </w:pPr>
            <w:r>
              <w:rPr>
                <w:b/>
                <w:sz w:val="22"/>
              </w:rPr>
              <w:t>Предложения участника</w:t>
            </w:r>
          </w:p>
        </w:tc>
      </w:tr>
      <w:tr>
        <w:trPr>
          <w:trHeight w:val="414" w:hRule="atLeast"/>
        </w:trPr>
        <w:tc>
          <w:tcPr>
            <w:tcW w:w="8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22"/>
              </w:rPr>
            </w:pPr>
            <w:r>
              <w:rPr>
                <w:sz w:val="22"/>
              </w:rPr>
              <w:t>1.</w:t>
            </w:r>
          </w:p>
        </w:tc>
        <w:tc>
          <w:tcPr>
            <w:tcW w:w="4396" w:type="dxa"/>
            <w:tcBorders>
              <w:top w:val="single" w:sz="4" w:space="0" w:color="000000"/>
              <w:start w:val="single" w:sz="4" w:space="0" w:color="000000"/>
              <w:bottom w:val="single" w:sz="4" w:space="0" w:color="000000"/>
              <w:end w:val="single" w:sz="4" w:space="0" w:color="000000"/>
            </w:tcBorders>
            <w:vAlign w:val="center"/>
          </w:tcPr>
          <w:p>
            <w:pPr>
              <w:pStyle w:val="Normal"/>
              <w:widowControl/>
              <w:ind w:hanging="0" w:start="0" w:end="57"/>
              <w:rPr>
                <w:sz w:val="22"/>
              </w:rPr>
            </w:pPr>
            <w:r>
              <w:rPr>
                <w:sz w:val="22"/>
              </w:rPr>
              <w:t>Коэффициент снижения цены</w:t>
            </w:r>
          </w:p>
        </w:tc>
        <w:tc>
          <w:tcPr>
            <w:tcW w:w="10235" w:type="dxa"/>
            <w:tcBorders>
              <w:top w:val="single" w:sz="4" w:space="0" w:color="000000"/>
              <w:start w:val="single" w:sz="4" w:space="0" w:color="000000"/>
              <w:bottom w:val="single" w:sz="4" w:space="0" w:color="000000"/>
              <w:end w:val="single" w:sz="4" w:space="0" w:color="000000"/>
            </w:tcBorders>
            <w:vAlign w:val="center"/>
          </w:tcPr>
          <w:p>
            <w:pPr>
              <w:pStyle w:val="Normal"/>
              <w:widowControl/>
              <w:ind w:hanging="0" w:start="57" w:end="57"/>
              <w:jc w:val="center"/>
              <w:rPr>
                <w:sz w:val="22"/>
              </w:rPr>
            </w:pPr>
            <w:r>
              <w:rPr>
                <w:b/>
                <w:i/>
                <w:sz w:val="22"/>
              </w:rPr>
              <w:t>[указать коэффициент снижения цены договора и единиц продукции, выраженный в виде десятичной дроби (например, «0,98» или «0,9» и т.п.)]</w:t>
            </w:r>
          </w:p>
        </w:tc>
      </w:tr>
    </w:tbl>
    <w:p>
      <w:pPr>
        <w:pStyle w:val="Normal"/>
        <w:widowControl/>
        <w:jc w:val="both"/>
        <w:rPr>
          <w:sz w:val="22"/>
        </w:rPr>
      </w:pPr>
      <w:r>
        <w:rPr>
          <w:sz w:val="22"/>
        </w:rPr>
      </w:r>
    </w:p>
    <w:p>
      <w:pPr>
        <w:pStyle w:val="Normal"/>
        <w:widowControl/>
        <w:jc w:val="center"/>
        <w:rPr>
          <w:b/>
          <w:sz w:val="22"/>
        </w:rPr>
      </w:pPr>
      <w:r>
        <w:rPr>
          <w:b/>
          <w:sz w:val="22"/>
        </w:rPr>
        <w:t>Сведения о поставляемом товаре/выполняемой работе/оказываемой услуге:</w:t>
      </w:r>
    </w:p>
    <w:tbl>
      <w:tblPr>
        <w:tblW w:w="15449" w:type="dxa"/>
        <w:jc w:val="start"/>
        <w:tblInd w:w="0" w:type="dxa"/>
        <w:tblLayout w:type="fixed"/>
        <w:tblCellMar>
          <w:top w:w="0" w:type="dxa"/>
          <w:start w:w="108" w:type="dxa"/>
          <w:bottom w:w="0" w:type="dxa"/>
          <w:end w:w="108" w:type="dxa"/>
        </w:tblCellMar>
      </w:tblPr>
      <w:tblGrid>
        <w:gridCol w:w="1260"/>
        <w:gridCol w:w="1177"/>
        <w:gridCol w:w="1834"/>
        <w:gridCol w:w="760"/>
        <w:gridCol w:w="1367"/>
        <w:gridCol w:w="1273"/>
        <w:gridCol w:w="1144"/>
        <w:gridCol w:w="1577"/>
        <w:gridCol w:w="548"/>
        <w:gridCol w:w="515"/>
        <w:gridCol w:w="1296"/>
        <w:gridCol w:w="1120"/>
        <w:gridCol w:w="1577"/>
      </w:tblGrid>
      <w:tr>
        <w:trPr>
          <w:trHeight w:val="558" w:hRule="atLeast"/>
        </w:trPr>
        <w:tc>
          <w:tcPr>
            <w:tcW w:w="1260" w:type="dxa"/>
            <w:tcBorders>
              <w:top w:val="single" w:sz="4" w:space="0" w:color="000000"/>
              <w:start w:val="single" w:sz="4" w:space="0" w:color="000000"/>
              <w:bottom w:val="single" w:sz="4" w:space="0" w:color="000000"/>
              <w:end w:val="single" w:sz="4" w:space="0" w:color="000000"/>
            </w:tcBorders>
            <w:shd w:fill="auto" w:val="clear"/>
          </w:tcPr>
          <w:p>
            <w:pPr>
              <w:pStyle w:val="Normal"/>
              <w:widowControl/>
              <w:ind w:hanging="0" w:start="-114" w:end="-121"/>
              <w:jc w:val="center"/>
              <w:rPr>
                <w:b/>
                <w:color w:val="000000"/>
                <w:sz w:val="18"/>
              </w:rPr>
            </w:pPr>
            <w:r>
              <w:rPr>
                <w:b/>
                <w:color w:val="000000"/>
                <w:sz w:val="18"/>
              </w:rPr>
              <w:t>Наименование товара/ работы/ услуги</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ind w:hanging="0" w:start="-93" w:end="-117"/>
              <w:jc w:val="center"/>
              <w:rPr>
                <w:b/>
                <w:color w:val="000000"/>
                <w:sz w:val="18"/>
              </w:rPr>
            </w:pPr>
            <w:r>
              <w:rPr>
                <w:b/>
                <w:color w:val="000000"/>
                <w:sz w:val="18"/>
              </w:rPr>
              <w:t>НМЦ единицы товара, работы, услуги, руб.</w:t>
            </w:r>
          </w:p>
        </w:tc>
        <w:tc>
          <w:tcPr>
            <w:tcW w:w="1834"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center"/>
              <w:rPr>
                <w:b/>
                <w:i/>
                <w:i/>
                <w:color w:val="FF0000"/>
                <w:sz w:val="18"/>
              </w:rPr>
            </w:pPr>
            <w:r>
              <w:rPr>
                <w:b/>
                <w:i/>
                <w:color w:val="000000"/>
                <w:sz w:val="18"/>
              </w:rPr>
              <w:t>Предложение о коэффициенте снижения/дополнительном коэффициенте снижения</w:t>
            </w:r>
          </w:p>
        </w:tc>
        <w:tc>
          <w:tcPr>
            <w:tcW w:w="760"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t>ОКПД2</w:t>
            </w:r>
          </w:p>
        </w:tc>
        <w:tc>
          <w:tcPr>
            <w:tcW w:w="1367"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t xml:space="preserve">Технические и качественные характеристики </w:t>
            </w:r>
            <w:r>
              <w:rPr>
                <w:b/>
                <w:sz w:val="18"/>
              </w:rPr>
              <w:t>товара/работы/ услуги</w:t>
            </w:r>
          </w:p>
        </w:tc>
        <w:tc>
          <w:tcPr>
            <w:tcW w:w="1273"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t>Наименование производителя (если предметом закупки является поставка товара)</w:t>
            </w:r>
          </w:p>
        </w:tc>
        <w:tc>
          <w:tcPr>
            <w:tcW w:w="1144" w:type="dxa"/>
            <w:tcBorders>
              <w:top w:val="single" w:sz="4" w:space="0" w:color="000000"/>
              <w:start w:val="single" w:sz="4" w:space="0" w:color="000000"/>
              <w:bottom w:val="single" w:sz="4" w:space="0" w:color="000000"/>
              <w:end w:val="single" w:sz="4" w:space="0" w:color="000000"/>
            </w:tcBorders>
          </w:tcPr>
          <w:p>
            <w:pPr>
              <w:pStyle w:val="Normal"/>
              <w:widowControl/>
              <w:ind w:hanging="0" w:start="-101" w:end="-50"/>
              <w:jc w:val="center"/>
              <w:rPr>
                <w:b/>
                <w:color w:val="000000"/>
                <w:sz w:val="18"/>
              </w:rPr>
            </w:pPr>
            <w:r>
              <w:rPr>
                <w:b/>
                <w:color w:val="000000"/>
                <w:sz w:val="18"/>
              </w:rPr>
              <w:t>Товарный знак</w:t>
            </w:r>
          </w:p>
          <w:p>
            <w:pPr>
              <w:pStyle w:val="Normal"/>
              <w:widowControl/>
              <w:ind w:hanging="0" w:start="-101" w:end="-50"/>
              <w:jc w:val="center"/>
              <w:rPr>
                <w:b/>
                <w:color w:val="000000"/>
                <w:sz w:val="18"/>
              </w:rPr>
            </w:pPr>
            <w:r>
              <w:rPr>
                <w:b/>
                <w:color w:val="000000"/>
                <w:sz w:val="18"/>
              </w:rPr>
              <w:t>(его словесное обозначение), фирменное наименование</w:t>
            </w:r>
          </w:p>
          <w:p>
            <w:pPr>
              <w:pStyle w:val="Normal"/>
              <w:widowControl/>
              <w:ind w:hanging="0" w:start="-101" w:end="-50"/>
              <w:jc w:val="center"/>
              <w:rPr>
                <w:b/>
                <w:color w:val="000000"/>
                <w:sz w:val="18"/>
              </w:rPr>
            </w:pPr>
            <w:r>
              <w:rPr>
                <w:b/>
                <w:color w:val="000000"/>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t>Модель/ артикул / парт. номер товара у производителя, который позволит Заказчику однозначно идентифицировать товар</w:t>
            </w:r>
          </w:p>
          <w:p>
            <w:pPr>
              <w:pStyle w:val="Normal"/>
              <w:widowControl/>
              <w:jc w:val="center"/>
              <w:rPr>
                <w:b/>
                <w:color w:val="000000"/>
                <w:sz w:val="18"/>
              </w:rPr>
            </w:pPr>
            <w:r>
              <w:rPr>
                <w:b/>
                <w:color w:val="000000"/>
                <w:sz w:val="18"/>
              </w:rPr>
            </w:r>
          </w:p>
        </w:tc>
        <w:tc>
          <w:tcPr>
            <w:tcW w:w="548"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t>Ориентировочное Кол-во</w:t>
            </w:r>
          </w:p>
          <w:p>
            <w:pPr>
              <w:pStyle w:val="Normal"/>
              <w:widowControl/>
              <w:jc w:val="center"/>
              <w:rPr>
                <w:b/>
                <w:color w:val="000000"/>
                <w:sz w:val="18"/>
              </w:rPr>
            </w:pPr>
            <w:r>
              <w:rPr>
                <w:b/>
                <w:color w:val="000000"/>
                <w:sz w:val="18"/>
              </w:rPr>
            </w:r>
          </w:p>
        </w:tc>
        <w:tc>
          <w:tcPr>
            <w:tcW w:w="515"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t>Ед. изм.</w:t>
            </w:r>
          </w:p>
          <w:p>
            <w:pPr>
              <w:pStyle w:val="Normal"/>
              <w:widowControl/>
              <w:jc w:val="center"/>
              <w:rPr>
                <w:b/>
                <w:color w:val="000000"/>
                <w:sz w:val="18"/>
              </w:rPr>
            </w:pPr>
            <w:r>
              <w:rPr>
                <w:b/>
                <w:color w:val="000000"/>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widowControl/>
              <w:ind w:hanging="0" w:start="-123" w:end="-104"/>
              <w:jc w:val="center"/>
              <w:rPr>
                <w:b/>
                <w:color w:val="000000"/>
                <w:sz w:val="18"/>
              </w:rPr>
            </w:pPr>
            <w:r>
              <w:rPr>
                <w:b/>
                <w:color w:val="000000"/>
                <w:sz w:val="18"/>
              </w:rPr>
              <w:t>Наименование страны происхождения товара</w:t>
            </w:r>
          </w:p>
          <w:p>
            <w:pPr>
              <w:pStyle w:val="Normal"/>
              <w:widowControl/>
              <w:ind w:hanging="0" w:start="-123" w:end="0"/>
              <w:jc w:val="center"/>
              <w:rPr>
                <w:b/>
                <w:color w:val="000000"/>
                <w:sz w:val="18"/>
              </w:rPr>
            </w:pPr>
            <w:r>
              <w:rPr>
                <w:b/>
                <w:color w:val="000000"/>
                <w:sz w:val="18"/>
              </w:rPr>
            </w:r>
          </w:p>
          <w:p>
            <w:pPr>
              <w:pStyle w:val="Normal"/>
              <w:widowControl/>
              <w:ind w:hanging="0" w:start="-123" w:end="0"/>
              <w:jc w:val="center"/>
              <w:rPr>
                <w:b/>
                <w:color w:val="000000"/>
                <w:sz w:val="18"/>
              </w:rPr>
            </w:pPr>
            <w:r>
              <w:rPr>
                <w:b/>
                <w:color w:val="000000"/>
                <w:sz w:val="18"/>
              </w:rPr>
            </w:r>
          </w:p>
        </w:tc>
        <w:tc>
          <w:tcPr>
            <w:tcW w:w="1120"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t>Гарантийный срок, месяцы</w:t>
            </w:r>
          </w:p>
        </w:tc>
        <w:tc>
          <w:tcPr>
            <w:tcW w:w="1577" w:type="dxa"/>
            <w:tcBorders>
              <w:top w:val="single" w:sz="4" w:space="0" w:color="000000"/>
              <w:start w:val="single" w:sz="4" w:space="0" w:color="000000"/>
              <w:bottom w:val="single" w:sz="4" w:space="0" w:color="000000"/>
              <w:end w:val="single" w:sz="4" w:space="0" w:color="000000"/>
            </w:tcBorders>
          </w:tcPr>
          <w:p>
            <w:pPr>
              <w:pStyle w:val="Normal"/>
              <w:widowControl/>
              <w:ind w:hanging="0" w:start="-106" w:end="-139"/>
              <w:jc w:val="center"/>
              <w:rPr>
                <w:b/>
                <w:color w:val="000000"/>
                <w:sz w:val="18"/>
              </w:rPr>
            </w:pPr>
            <w:r>
              <w:rPr>
                <w:b/>
                <w:color w:val="000000"/>
                <w:sz w:val="18"/>
              </w:rPr>
              <w:t>Номер реестровой записи/порядковый номер реестровой записи</w:t>
            </w:r>
            <w:r>
              <w:rPr>
                <w:rStyle w:val="FootnoteReference"/>
                <w:b/>
                <w:color w:val="000000"/>
                <w:sz w:val="18"/>
              </w:rPr>
              <w:footnoteReference w:id="3"/>
            </w:r>
          </w:p>
          <w:p>
            <w:pPr>
              <w:pStyle w:val="Normal"/>
              <w:widowControl/>
              <w:ind w:hanging="0" w:start="-106" w:end="-139"/>
              <w:jc w:val="center"/>
              <w:rPr>
                <w:b/>
                <w:color w:val="000000"/>
                <w:sz w:val="18"/>
              </w:rPr>
            </w:pPr>
            <w:r>
              <w:rPr>
                <w:b/>
                <w:color w:val="000000"/>
                <w:sz w:val="18"/>
              </w:rPr>
            </w:r>
          </w:p>
        </w:tc>
      </w:tr>
      <w:tr>
        <w:trPr>
          <w:trHeight w:val="558" w:hRule="atLeast"/>
        </w:trPr>
        <w:tc>
          <w:tcPr>
            <w:tcW w:w="1260"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before="0" w:after="0"/>
              <w:jc w:val="both"/>
              <w:rPr>
                <w:rFonts w:ascii="XO Thames" w:hAnsi="XO Thames"/>
                <w:color w:val="000000"/>
                <w:sz w:val="16"/>
              </w:rPr>
            </w:pPr>
            <w:r>
              <w:rPr>
                <w:color w:val="000000"/>
                <w:sz w:val="16"/>
              </w:rPr>
              <w:t>Лицензия "Дорис Контроль" Правообладатель: ООО «НПО «ИТС. СОФТ» Реестровая запись №12412 от 30.12.2021</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Times New Roman" w:hAnsi="Times New Roman"/>
                <w:b w:val="false"/>
                <w:i w:val="false"/>
                <w:i w:val="false"/>
                <w:strike w:val="false"/>
                <w:dstrike w:val="false"/>
                <w:shadow w:val="false"/>
                <w:sz w:val="16"/>
                <w:u w:val="none"/>
              </w:rPr>
            </w:pPr>
            <w:r>
              <w:rPr>
                <w:rFonts w:ascii="Times New Roman" w:hAnsi="Times New Roman"/>
                <w:b w:val="false"/>
                <w:i w:val="false"/>
                <w:strike w:val="false"/>
                <w:dstrike w:val="false"/>
                <w:shadow w:val="false"/>
                <w:sz w:val="16"/>
                <w:u w:val="none"/>
              </w:rPr>
              <w:t>19 700 000,00</w:t>
            </w:r>
          </w:p>
          <w:p>
            <w:pPr>
              <w:pStyle w:val="Normal"/>
              <w:widowControl/>
              <w:jc w:val="center"/>
              <w:rPr>
                <w:b/>
                <w:color w:val="000000"/>
                <w:sz w:val="18"/>
              </w:rPr>
            </w:pPr>
            <w:r>
              <w:rPr>
                <w:b/>
                <w:color w:val="000000"/>
                <w:sz w:val="18"/>
              </w:rPr>
            </w:r>
          </w:p>
        </w:tc>
        <w:tc>
          <w:tcPr>
            <w:tcW w:w="1834"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center"/>
              <w:rPr>
                <w:b/>
                <w:color w:val="000000"/>
                <w:sz w:val="18"/>
              </w:rPr>
            </w:pPr>
            <w:r>
              <w:rPr>
                <w:b/>
                <w:color w:val="000000"/>
                <w:sz w:val="18"/>
              </w:rPr>
            </w:r>
          </w:p>
        </w:tc>
        <w:tc>
          <w:tcPr>
            <w:tcW w:w="760"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367"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16"/>
              </w:rPr>
            </w:pPr>
            <w:r>
              <w:rPr>
                <w:sz w:val="16"/>
              </w:rPr>
              <w:t>В полном соответствии с требованиями, изложенными в Разделах IV. «ТЕХНИЧЕСКОЕ ЗАДАНИЕ» и V. «ПРОЕКТ ДОГОВОРА» документации о проведении запроса цен</w:t>
            </w:r>
          </w:p>
        </w:tc>
        <w:tc>
          <w:tcPr>
            <w:tcW w:w="1273"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144"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548"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t>5</w:t>
            </w:r>
          </w:p>
        </w:tc>
        <w:tc>
          <w:tcPr>
            <w:tcW w:w="515"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t>Шт.</w:t>
            </w:r>
          </w:p>
        </w:tc>
        <w:tc>
          <w:tcPr>
            <w:tcW w:w="1296"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120"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r>
      <w:tr>
        <w:trPr>
          <w:trHeight w:val="558" w:hRule="atLeast"/>
        </w:trPr>
        <w:tc>
          <w:tcPr>
            <w:tcW w:w="1260"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center"/>
              <w:rPr>
                <w:b/>
                <w:color w:val="000000"/>
                <w:sz w:val="18"/>
              </w:rPr>
            </w:pPr>
            <w:r>
              <w:rPr>
                <w:b/>
                <w:color w:val="000000"/>
                <w:sz w:val="18"/>
              </w:rPr>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834" w:type="dxa"/>
            <w:tcBorders>
              <w:top w:val="single" w:sz="4" w:space="0" w:color="000000"/>
              <w:start w:val="single" w:sz="4" w:space="0" w:color="000000"/>
              <w:bottom w:val="single" w:sz="4" w:space="0" w:color="000000"/>
              <w:end w:val="single" w:sz="4" w:space="0" w:color="000000"/>
            </w:tcBorders>
            <w:shd w:fill="auto" w:val="clear"/>
          </w:tcPr>
          <w:p>
            <w:pPr>
              <w:pStyle w:val="Normal"/>
              <w:widowControl/>
              <w:jc w:val="center"/>
              <w:rPr>
                <w:b/>
                <w:color w:val="000000"/>
                <w:sz w:val="18"/>
              </w:rPr>
            </w:pPr>
            <w:r>
              <w:rPr>
                <w:b/>
                <w:color w:val="000000"/>
                <w:sz w:val="18"/>
              </w:rPr>
            </w:r>
          </w:p>
        </w:tc>
        <w:tc>
          <w:tcPr>
            <w:tcW w:w="760"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367"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273"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144"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548"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515"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120"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widowControl/>
              <w:jc w:val="center"/>
              <w:rPr>
                <w:b/>
                <w:color w:val="000000"/>
                <w:sz w:val="18"/>
              </w:rPr>
            </w:pPr>
            <w:r>
              <w:rPr>
                <w:b/>
                <w:color w:val="000000"/>
                <w:sz w:val="18"/>
              </w:rPr>
            </w:r>
          </w:p>
        </w:tc>
      </w:tr>
    </w:tbl>
    <w:p>
      <w:pPr>
        <w:pStyle w:val="Normal"/>
        <w:rPr/>
      </w:pPr>
      <w:r>
        <w:rPr/>
      </w:r>
    </w:p>
    <w:p>
      <w:pPr>
        <w:pStyle w:val="Revision1"/>
        <w:rPr>
          <w:sz w:val="22"/>
        </w:rPr>
      </w:pPr>
      <w:r>
        <w:rPr>
          <w:sz w:val="22"/>
        </w:rPr>
      </w:r>
    </w:p>
    <w:p>
      <w:pPr>
        <w:pStyle w:val="Normal"/>
        <w:rPr>
          <w:color w:val="808080"/>
          <w:sz w:val="22"/>
        </w:rPr>
      </w:pPr>
      <w:r>
        <w:rPr>
          <w:color w:val="808080"/>
          <w:sz w:val="22"/>
        </w:rPr>
        <w:t>ИНСТРУКЦИИ ПО ЗАПОЛНЕНИЮ</w:t>
      </w:r>
    </w:p>
    <w:p>
      <w:pPr>
        <w:pStyle w:val="Normal"/>
        <w:widowControl/>
        <w:jc w:val="both"/>
        <w:rPr>
          <w:color w:val="808080"/>
          <w:sz w:val="22"/>
        </w:rPr>
      </w:pPr>
      <w:r>
        <w:rPr>
          <w:color w:val="808080"/>
          <w:sz w:val="22"/>
        </w:rPr>
        <w:t>1. Данные инструкции не следует воспроизводить в документах, подготовленных участником.</w:t>
      </w:r>
    </w:p>
    <w:p>
      <w:pPr>
        <w:pStyle w:val="Normal"/>
        <w:widowControl/>
        <w:jc w:val="both"/>
        <w:rPr>
          <w:color w:val="808080"/>
          <w:sz w:val="22"/>
        </w:rPr>
      </w:pPr>
      <w:r>
        <w:rPr>
          <w:color w:val="808080"/>
          <w:sz w:val="22"/>
        </w:rPr>
        <w:t>2. Участник приводит номер и дату заявки на участие в закупке, приложением к которой является данное технико-коммерческое предложение.</w:t>
      </w:r>
    </w:p>
    <w:p>
      <w:pPr>
        <w:pStyle w:val="Normal"/>
        <w:widowControl/>
        <w:jc w:val="both"/>
        <w:rPr>
          <w:color w:val="808080"/>
          <w:sz w:val="22"/>
        </w:rPr>
      </w:pPr>
      <w:r>
        <w:rPr>
          <w:color w:val="808080"/>
          <w:sz w:val="22"/>
        </w:rPr>
        <w:t>3. Предлагаемая цена договора должна быть указана цифрами с одновременным дублированием ее словами.</w:t>
      </w:r>
    </w:p>
    <w:p>
      <w:pPr>
        <w:pStyle w:val="Normal"/>
        <w:widowControl/>
        <w:jc w:val="both"/>
        <w:rPr>
          <w:color w:val="808080"/>
          <w:sz w:val="22"/>
        </w:rPr>
      </w:pPr>
      <w:r>
        <w:rPr>
          <w:color w:val="808080"/>
          <w:sz w:val="22"/>
        </w:rPr>
        <w:t>4. Технико-коммерческое предложение участника должно включать:</w:t>
      </w:r>
    </w:p>
    <w:p>
      <w:pPr>
        <w:pStyle w:val="Normal"/>
        <w:widowControl/>
        <w:jc w:val="both"/>
        <w:rPr>
          <w:color w:val="808080"/>
          <w:sz w:val="22"/>
        </w:rPr>
      </w:pPr>
      <w:r>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pPr>
        <w:pStyle w:val="Normal"/>
        <w:widowControl/>
        <w:jc w:val="both"/>
        <w:rPr>
          <w:color w:val="808080"/>
          <w:sz w:val="22"/>
        </w:rPr>
      </w:pPr>
      <w:r>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p>
    <w:p>
      <w:pPr>
        <w:sectPr>
          <w:headerReference w:type="even" r:id="rId27"/>
          <w:headerReference w:type="default" r:id="rId28"/>
          <w:headerReference w:type="first" r:id="rId29"/>
          <w:footnotePr>
            <w:numFmt w:val="decimal"/>
          </w:footnotePr>
          <w:type w:val="nextPage"/>
          <w:pgSz w:orient="landscape" w:w="16838" w:h="11906"/>
          <w:pgMar w:left="567" w:right="851" w:gutter="0" w:header="720" w:top="1134" w:footer="0" w:bottom="567"/>
          <w:pgNumType w:fmt="decimal"/>
          <w:formProt w:val="false"/>
          <w:titlePg/>
          <w:textDirection w:val="lrTb"/>
          <w:docGrid w:type="default" w:linePitch="100" w:charSpace="0"/>
        </w:sectPr>
        <w:pStyle w:val="Normal"/>
        <w:widowControl/>
        <w:jc w:val="both"/>
        <w:rPr>
          <w:color w:val="808080"/>
          <w:sz w:val="22"/>
        </w:rPr>
      </w:pPr>
      <w:r>
        <w:rPr>
          <w:color w:val="808080"/>
          <w:sz w:val="22"/>
        </w:rPr>
        <w:t xml:space="preserve">5. Код ОКПД2 для каждой позиции товара указывается победителем закупки (участником закупки, с которым принято решение о заключении договора) перед подписанием договора. </w:t>
      </w:r>
    </w:p>
    <w:p>
      <w:pPr>
        <w:pStyle w:val="Normal"/>
        <w:rPr>
          <w:color w:val="808080"/>
          <w:sz w:val="22"/>
        </w:rPr>
      </w:pPr>
      <w:r>
        <w:rPr>
          <w:color w:val="808080"/>
          <w:sz w:val="22"/>
        </w:rPr>
      </w:r>
    </w:p>
    <w:p>
      <w:pPr>
        <w:pStyle w:val="Heading1"/>
        <w:keepLines w:val="false"/>
        <w:widowControl/>
        <w:spacing w:before="240" w:after="120"/>
        <w:ind w:hanging="360" w:start="792" w:end="0"/>
        <w:jc w:val="both"/>
        <w:rPr>
          <w:rFonts w:ascii="Times New Roman" w:hAnsi="Times New Roman"/>
          <w:color w:val="548DD4"/>
        </w:rPr>
      </w:pPr>
      <w:bookmarkStart w:id="171" w:name="__RefHeading___42"/>
      <w:bookmarkStart w:id="172" w:name="_Форма_4_РЕКОМЕНДУЕМАЯ"/>
      <w:bookmarkEnd w:id="171"/>
      <w:bookmarkEnd w:id="172"/>
      <w:r>
        <w:rPr>
          <w:rFonts w:ascii="Times New Roman" w:hAnsi="Times New Roman"/>
          <w:color w:val="548DD4"/>
        </w:rPr>
        <w:t>Форма 3 РЕКОМЕНДУЕМАЯ ФОРМА ЗАПРОСА РАЗЪЯСНЕНИЙ ДОКУМЕНТАЦИИ О ЗАКУПКЕ</w:t>
      </w:r>
    </w:p>
    <w:p>
      <w:pPr>
        <w:pStyle w:val="Normal"/>
        <w:rPr/>
      </w:pPr>
      <w:r>
        <w:rPr/>
      </w:r>
    </w:p>
    <w:p>
      <w:pPr>
        <w:pStyle w:val="Normal"/>
        <w:widowControl/>
        <w:jc w:val="center"/>
        <w:rPr/>
      </w:pPr>
      <w:bookmarkStart w:id="173" w:name="_Ref313304436"/>
      <w:r>
        <w:rPr/>
        <w:t>РЕКОМЕНДУЕМАЯ ФОРМА ЗАПРОСА РАЗЪЯСНЕНИЙ ДОКУМЕНТАЦИИ</w:t>
      </w:r>
      <w:bookmarkEnd w:id="173"/>
    </w:p>
    <w:p>
      <w:pPr>
        <w:pStyle w:val="Normal"/>
        <w:widowControl/>
        <w:jc w:val="center"/>
        <w:rPr/>
      </w:pPr>
      <w:r>
        <w:rPr/>
        <w:t>О ЗАКУПКЕ</w:t>
      </w:r>
    </w:p>
    <w:p>
      <w:pPr>
        <w:pStyle w:val="Header"/>
        <w:widowControl/>
        <w:tabs>
          <w:tab w:val="clear" w:pos="4677"/>
          <w:tab w:val="clear" w:pos="9355"/>
        </w:tabs>
        <w:rPr/>
      </w:pPr>
      <w:r>
        <w:rPr/>
      </w:r>
    </w:p>
    <w:p>
      <w:pPr>
        <w:pStyle w:val="Header"/>
        <w:widowControl/>
        <w:tabs>
          <w:tab w:val="clear" w:pos="4677"/>
          <w:tab w:val="clear" w:pos="9355"/>
        </w:tabs>
        <w:jc w:val="both"/>
        <w:rPr>
          <w:i/>
          <w:i/>
          <w:color w:val="FF0000"/>
        </w:rPr>
      </w:pPr>
      <w:r>
        <w:rPr>
          <w:i/>
          <w:color w:val="FF0000"/>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pPr>
        <w:pStyle w:val="Normal"/>
        <w:widowControl/>
        <w:jc w:val="end"/>
        <w:rPr/>
      </w:pPr>
      <w:r>
        <w:rPr/>
      </w:r>
    </w:p>
    <w:p>
      <w:pPr>
        <w:pStyle w:val="Normal"/>
        <w:rPr/>
      </w:pPr>
      <w:r>
        <w:rPr/>
      </w:r>
    </w:p>
    <w:p>
      <w:pPr>
        <w:pStyle w:val="Normal"/>
        <w:widowControl/>
        <w:jc w:val="center"/>
        <w:rPr/>
      </w:pPr>
      <w:r>
        <w:rPr/>
        <w:t>Уважаемые господа!</w:t>
      </w:r>
    </w:p>
    <w:p>
      <w:pPr>
        <w:pStyle w:val="Normal"/>
        <w:widowControl/>
        <w:jc w:val="center"/>
        <w:rPr/>
      </w:pPr>
      <w:r>
        <w:rPr/>
        <w:t>Просим Вас разъяснить следующие положения документации о проведении запроса цен</w:t>
      </w:r>
    </w:p>
    <w:p>
      <w:pPr>
        <w:pStyle w:val="Normal"/>
        <w:widowControl/>
        <w:jc w:val="center"/>
        <w:rPr/>
      </w:pPr>
      <w:r>
        <w:rPr/>
        <w:t>в электронной форме на право заключения договора на ________________________________ (документация о закупке):</w:t>
      </w:r>
    </w:p>
    <w:p>
      <w:pPr>
        <w:pStyle w:val="Normal"/>
        <w:rPr/>
      </w:pPr>
      <w:r>
        <w:rPr/>
      </w:r>
    </w:p>
    <w:tbl>
      <w:tblPr>
        <w:tblW w:w="10205" w:type="dxa"/>
        <w:jc w:val="start"/>
        <w:tblInd w:w="41" w:type="dxa"/>
        <w:tblLayout w:type="fixed"/>
        <w:tblCellMar>
          <w:top w:w="0" w:type="dxa"/>
          <w:start w:w="40" w:type="dxa"/>
          <w:bottom w:w="0" w:type="dxa"/>
          <w:end w:w="40" w:type="dxa"/>
        </w:tblCellMar>
      </w:tblPr>
      <w:tblGrid>
        <w:gridCol w:w="605"/>
        <w:gridCol w:w="1996"/>
        <w:gridCol w:w="2918"/>
        <w:gridCol w:w="4685"/>
      </w:tblGrid>
      <w:tr>
        <w:trPr>
          <w:trHeight w:val="1936" w:hRule="exact"/>
        </w:trPr>
        <w:tc>
          <w:tcPr>
            <w:tcW w:w="60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widowControl/>
              <w:jc w:val="center"/>
              <w:rPr>
                <w:b/>
              </w:rPr>
            </w:pPr>
            <w:r>
              <w:rPr>
                <w:b/>
              </w:rPr>
              <w:t xml:space="preserve">№ </w:t>
            </w:r>
            <w:r>
              <w:rPr>
                <w:b/>
              </w:rPr>
              <w:t>п/п</w:t>
            </w:r>
          </w:p>
        </w:tc>
        <w:tc>
          <w:tcPr>
            <w:tcW w:w="199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widowControl/>
              <w:jc w:val="center"/>
              <w:rPr>
                <w:b/>
              </w:rPr>
            </w:pPr>
            <w:r>
              <w:rPr>
                <w:b/>
              </w:rPr>
              <w:t>Раздел документации о закупке</w:t>
            </w:r>
          </w:p>
        </w:tc>
        <w:tc>
          <w:tcPr>
            <w:tcW w:w="2918"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widowControl/>
              <w:jc w:val="center"/>
              <w:rPr>
                <w:b/>
              </w:rPr>
            </w:pPr>
            <w:r>
              <w:rPr>
                <w:b/>
              </w:rPr>
              <w:t>Ссылка на пункт документации о закупке, положения которого следует разъяснить</w:t>
            </w:r>
          </w:p>
        </w:tc>
        <w:tc>
          <w:tcPr>
            <w:tcW w:w="468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widowControl/>
              <w:jc w:val="center"/>
              <w:rPr>
                <w:b/>
              </w:rPr>
            </w:pPr>
            <w:r>
              <w:rPr>
                <w:b/>
              </w:rPr>
              <w:t>Содержание запроса на разъяснение положений документации о закупке</w:t>
            </w:r>
          </w:p>
        </w:tc>
      </w:tr>
      <w:tr>
        <w:trPr>
          <w:trHeight w:val="795" w:hRule="atLeast"/>
        </w:trPr>
        <w:tc>
          <w:tcPr>
            <w:tcW w:w="60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pPr>
            <w:r>
              <w:rPr/>
              <w:t>1.</w:t>
            </w:r>
          </w:p>
        </w:tc>
        <w:tc>
          <w:tcPr>
            <w:tcW w:w="199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pPr>
            <w:r>
              <w:rPr/>
            </w:r>
          </w:p>
        </w:tc>
        <w:tc>
          <w:tcPr>
            <w:tcW w:w="2918"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pPr>
            <w:r>
              <w:rPr/>
            </w:r>
          </w:p>
        </w:tc>
        <w:tc>
          <w:tcPr>
            <w:tcW w:w="468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pPr>
            <w:r>
              <w:rPr/>
            </w:r>
          </w:p>
        </w:tc>
      </w:tr>
      <w:tr>
        <w:trPr>
          <w:trHeight w:val="810" w:hRule="atLeast"/>
        </w:trPr>
        <w:tc>
          <w:tcPr>
            <w:tcW w:w="605"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rPr/>
            </w:pPr>
            <w:r>
              <w:rPr/>
              <w:t>2.</w:t>
            </w:r>
          </w:p>
        </w:tc>
        <w:tc>
          <w:tcPr>
            <w:tcW w:w="199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pPr>
            <w:r>
              <w:rPr/>
            </w:r>
          </w:p>
        </w:tc>
        <w:tc>
          <w:tcPr>
            <w:tcW w:w="2918"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pPr>
            <w:r>
              <w:rPr/>
            </w:r>
          </w:p>
        </w:tc>
        <w:tc>
          <w:tcPr>
            <w:tcW w:w="468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pPr>
            <w:r>
              <w:rPr/>
            </w:r>
          </w:p>
        </w:tc>
      </w:tr>
    </w:tbl>
    <w:p>
      <w:pPr>
        <w:sectPr>
          <w:headerReference w:type="even" r:id="rId30"/>
          <w:headerReference w:type="default" r:id="rId31"/>
          <w:headerReference w:type="first" r:id="rId32"/>
          <w:footnotePr>
            <w:numFmt w:val="decimal"/>
          </w:footnotePr>
          <w:type w:val="nextPage"/>
          <w:pgSz w:w="11906" w:h="16838"/>
          <w:pgMar w:left="1134" w:right="567" w:gutter="0" w:header="720" w:top="851" w:footer="0" w:bottom="567"/>
          <w:pgNumType w:fmt="decimal"/>
          <w:formProt w:val="false"/>
          <w:titlePg/>
          <w:textDirection w:val="lrTb"/>
          <w:docGrid w:type="default" w:linePitch="100" w:charSpace="0"/>
        </w:sectPr>
      </w:pPr>
    </w:p>
    <w:p>
      <w:pPr>
        <w:pStyle w:val="Normal"/>
        <w:rPr>
          <w:b/>
          <w:color w:val="FF0000"/>
          <w:sz w:val="28"/>
        </w:rPr>
      </w:pPr>
      <w:r>
        <w:rPr>
          <w:b/>
          <w:color w:val="FF0000"/>
          <w:sz w:val="28"/>
        </w:rPr>
      </w:r>
    </w:p>
    <w:p>
      <w:pPr>
        <w:pStyle w:val="Heading1"/>
        <w:keepLines w:val="false"/>
        <w:widowControl/>
        <w:tabs>
          <w:tab w:val="clear" w:pos="720"/>
          <w:tab w:val="left" w:pos="6424" w:leader="none"/>
        </w:tabs>
        <w:spacing w:before="240" w:after="120"/>
        <w:ind w:hanging="360" w:start="792" w:end="0"/>
        <w:jc w:val="both"/>
        <w:rPr>
          <w:rFonts w:ascii="Times New Roman" w:hAnsi="Times New Roman"/>
          <w:color w:val="17365D"/>
        </w:rPr>
      </w:pPr>
      <w:bookmarkStart w:id="174" w:name="__RefHeading___43"/>
      <w:bookmarkStart w:id="175" w:name="_РАЗДЕЛ_IV._ТЕХНИЧЕСКОЕ_1"/>
      <w:bookmarkEnd w:id="174"/>
      <w:bookmarkEnd w:id="175"/>
      <w:r>
        <w:rPr>
          <w:rFonts w:ascii="Times New Roman" w:hAnsi="Times New Roman"/>
          <w:color w:val="17365D"/>
        </w:rPr>
        <w:t>РАЗДЕЛ IV. ТЕХНИЧЕСКОЕ ЗАДАНИЕ</w:t>
      </w:r>
    </w:p>
    <w:p>
      <w:pPr>
        <w:pStyle w:val="Normal"/>
        <w:widowControl/>
        <w:tabs>
          <w:tab w:val="clear" w:pos="720"/>
          <w:tab w:val="left" w:pos="6424" w:leader="none"/>
        </w:tabs>
        <w:spacing w:before="240" w:after="120"/>
        <w:ind w:hanging="360" w:start="792" w:end="0"/>
        <w:jc w:val="both"/>
        <w:rPr>
          <w:rFonts w:ascii="Times New Roman" w:hAnsi="Times New Roman"/>
          <w:color w:val="000000"/>
        </w:rPr>
      </w:pPr>
      <w:r>
        <w:rPr>
          <w:rFonts w:ascii="Times New Roman" w:hAnsi="Times New Roman"/>
          <w:color w:val="000000"/>
        </w:rPr>
        <w:t>Прилагается отдельным файлом</w:t>
      </w:r>
    </w:p>
    <w:p>
      <w:pPr>
        <w:pStyle w:val="Heading1"/>
        <w:widowControl/>
        <w:tabs>
          <w:tab w:val="clear" w:pos="720"/>
          <w:tab w:val="left" w:pos="6424" w:leader="none"/>
        </w:tabs>
        <w:spacing w:before="240" w:after="120"/>
        <w:ind w:hanging="360" w:start="792" w:end="0"/>
        <w:jc w:val="both"/>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both"/>
        <w:rPr>
          <w:rFonts w:ascii="Times New Roman" w:hAnsi="Times New Roman"/>
          <w:color w:val="17365D"/>
        </w:rPr>
      </w:pPr>
      <w:bookmarkStart w:id="176" w:name="__RefHeading___44"/>
      <w:bookmarkEnd w:id="176"/>
      <w:r>
        <w:rPr>
          <w:rFonts w:ascii="Times New Roman" w:hAnsi="Times New Roman"/>
          <w:color w:val="17365D"/>
        </w:rPr>
        <w:t>РАЗДЕЛ V. ПРОЕКТ ДОГОВОРА</w:t>
      </w:r>
    </w:p>
    <w:p>
      <w:pPr>
        <w:pStyle w:val="Normal"/>
        <w:widowControl/>
        <w:tabs>
          <w:tab w:val="clear" w:pos="720"/>
          <w:tab w:val="left" w:pos="6424" w:leader="none"/>
        </w:tabs>
        <w:spacing w:before="240" w:after="120"/>
        <w:ind w:hanging="360" w:start="792" w:end="0"/>
        <w:jc w:val="both"/>
        <w:rPr>
          <w:rFonts w:ascii="Times New Roman" w:hAnsi="Times New Roman"/>
          <w:b w:val="false"/>
          <w:i w:val="false"/>
          <w:i w:val="false"/>
          <w:color w:val="000000"/>
        </w:rPr>
      </w:pPr>
      <w:r>
        <w:rPr>
          <w:rFonts w:ascii="Times New Roman" w:hAnsi="Times New Roman"/>
          <w:b w:val="false"/>
          <w:i w:val="false"/>
          <w:color w:val="000000"/>
        </w:rPr>
        <w:t>Прилагается отдельным файлом</w:t>
      </w:r>
    </w:p>
    <w:p>
      <w:pPr>
        <w:pStyle w:val="Normal"/>
        <w:widowControl/>
        <w:jc w:val="both"/>
        <w:rPr>
          <w:color w:val="FF0000"/>
        </w:rPr>
      </w:pPr>
      <w:r>
        <w:rPr>
          <w:color w:val="FF0000"/>
        </w:rPr>
      </w:r>
    </w:p>
    <w:p>
      <w:pPr>
        <w:pStyle w:val="Heading1"/>
        <w:keepLines w:val="false"/>
        <w:widowControl/>
        <w:tabs>
          <w:tab w:val="clear" w:pos="720"/>
          <w:tab w:val="left" w:pos="6424" w:leader="none"/>
        </w:tabs>
        <w:spacing w:before="240" w:after="120"/>
        <w:ind w:hanging="360" w:start="792" w:end="0"/>
        <w:jc w:val="both"/>
        <w:rPr/>
      </w:pPr>
      <w:r>
        <w:rPr/>
      </w:r>
      <w:bookmarkStart w:id="177" w:name="_РАЗДЕЛ_VI._КРИТЕРИИ"/>
      <w:bookmarkStart w:id="178" w:name="_РАЗДЕЛ_VI._КРИТЕРИИ"/>
      <w:bookmarkEnd w:id="178"/>
      <w:r>
        <w:br w:type="page"/>
      </w:r>
    </w:p>
    <w:p>
      <w:pPr>
        <w:pStyle w:val="Heading1"/>
        <w:keepLines w:val="false"/>
        <w:widowControl/>
        <w:tabs>
          <w:tab w:val="clear" w:pos="720"/>
          <w:tab w:val="left" w:pos="6424" w:leader="none"/>
        </w:tabs>
        <w:spacing w:before="0" w:after="120"/>
        <w:ind w:hanging="360" w:start="792" w:end="0"/>
        <w:jc w:val="end"/>
        <w:rPr>
          <w:rFonts w:ascii="Times New Roman" w:hAnsi="Times New Roman"/>
          <w:color w:val="17365D"/>
          <w:u w:val="single"/>
        </w:rPr>
      </w:pPr>
      <w:bookmarkStart w:id="179" w:name="__RefHeading___45"/>
      <w:bookmarkStart w:id="180" w:name="_Приложение_№_1"/>
      <w:bookmarkStart w:id="181" w:name="_Приложение_№_1_1"/>
      <w:bookmarkEnd w:id="179"/>
      <w:bookmarkEnd w:id="180"/>
      <w:bookmarkEnd w:id="181"/>
      <w:r>
        <w:rPr>
          <w:rFonts w:ascii="Times New Roman" w:hAnsi="Times New Roman"/>
          <w:color w:val="17365D"/>
          <w:u w:val="single"/>
        </w:rPr>
        <w:t>Приложение № 1</w:t>
      </w:r>
    </w:p>
    <w:p>
      <w:pPr>
        <w:pStyle w:val="Normal"/>
        <w:widowControl/>
        <w:jc w:val="end"/>
        <w:rPr>
          <w:i/>
          <w:i/>
          <w:u w:val="single"/>
        </w:rPr>
      </w:pPr>
      <w:r>
        <w:rPr>
          <w:i/>
          <w:u w:val="single"/>
        </w:rPr>
        <w:t xml:space="preserve">К документации о проведении </w:t>
      </w:r>
    </w:p>
    <w:p>
      <w:pPr>
        <w:pStyle w:val="Normal"/>
        <w:widowControl/>
        <w:jc w:val="end"/>
        <w:rPr>
          <w:i/>
          <w:i/>
          <w:u w:val="single"/>
        </w:rPr>
      </w:pPr>
      <w:r>
        <w:rPr>
          <w:i/>
          <w:u w:val="single"/>
        </w:rPr>
        <w:t>запроса цен</w:t>
      </w:r>
    </w:p>
    <w:p>
      <w:pPr>
        <w:pStyle w:val="Normal"/>
        <w:widowControl/>
        <w:jc w:val="end"/>
        <w:rPr>
          <w:i/>
          <w:i/>
        </w:rPr>
      </w:pPr>
      <w:r>
        <w:rPr>
          <w:i/>
        </w:rPr>
      </w:r>
    </w:p>
    <w:p>
      <w:pPr>
        <w:pStyle w:val="rvps91"/>
        <w:widowControl/>
        <w:ind w:firstLine="459" w:start="0" w:end="0"/>
        <w:rPr>
          <w:i/>
          <w:i/>
        </w:rPr>
      </w:pPr>
      <w:r>
        <w:rPr>
          <w:i/>
        </w:rPr>
        <w:t>Предоставляется в соответствии с пунктом «Размер обеспечения заявки, срок и порядок его предоставления» документации</w:t>
      </w:r>
    </w:p>
    <w:p>
      <w:pPr>
        <w:pStyle w:val="Normal"/>
        <w:rPr/>
      </w:pPr>
      <w:r>
        <w:rPr/>
      </w:r>
    </w:p>
    <w:p>
      <w:pPr>
        <w:pStyle w:val="Normal"/>
        <w:widowControl/>
        <w:spacing w:lineRule="auto" w:line="276"/>
        <w:jc w:val="center"/>
        <w:rPr/>
      </w:pPr>
      <w:bookmarkStart w:id="182" w:name="_Приложение_№_2"/>
      <w:bookmarkEnd w:id="182"/>
      <w:r>
        <w:rPr/>
        <w:t>БАНКОВСКАЯ  ГАРАНТИЯ № _______</w:t>
      </w:r>
    </w:p>
    <w:p>
      <w:pPr>
        <w:pStyle w:val="Normal"/>
        <w:widowControl/>
        <w:spacing w:lineRule="auto" w:line="276"/>
        <w:jc w:val="center"/>
        <w:rPr/>
      </w:pPr>
      <w:r>
        <w:rPr/>
      </w:r>
    </w:p>
    <w:p>
      <w:pPr>
        <w:pStyle w:val="Normal"/>
        <w:widowControl/>
        <w:ind w:firstLine="284" w:start="284" w:end="283"/>
        <w:jc w:val="both"/>
        <w:rPr>
          <w:color w:val="000000"/>
        </w:rPr>
      </w:pPr>
      <w:r>
        <w:rPr>
          <w:color w:val="000000"/>
        </w:rPr>
        <w:t>Для_____________________________________</w:t>
        <w:tab/>
        <w:tab/>
        <w:tab/>
        <w:tab/>
        <w:tab/>
        <w:tab/>
        <w:tab/>
        <w:tab/>
        <w:tab/>
        <w:t>«____» ________ г.</w:t>
      </w:r>
    </w:p>
    <w:p>
      <w:pPr>
        <w:pStyle w:val="Normal"/>
        <w:widowControl/>
        <w:ind w:firstLine="284" w:start="284" w:end="283"/>
        <w:jc w:val="both"/>
        <w:rPr>
          <w:i/>
          <w:i/>
          <w:color w:val="000000"/>
        </w:rPr>
      </w:pPr>
      <w:r>
        <w:rPr>
          <w:color w:val="000000"/>
        </w:rPr>
        <w:t>(</w:t>
      </w:r>
      <w:r>
        <w:rPr>
          <w:i/>
          <w:color w:val="000000"/>
        </w:rPr>
        <w:t>полное наименование Бенефициара, его адрес</w:t>
      </w:r>
      <w:r>
        <w:rPr>
          <w:color w:val="000000"/>
        </w:rPr>
        <w:t>)</w:t>
        <w:tab/>
        <w:tab/>
        <w:tab/>
        <w:tab/>
        <w:tab/>
        <w:tab/>
        <w:tab/>
        <w:tab/>
        <w:tab/>
        <w:tab/>
      </w:r>
      <w:r>
        <w:rPr>
          <w:i/>
          <w:color w:val="000000"/>
        </w:rPr>
        <w:t>(дата выдачи)</w:t>
      </w:r>
    </w:p>
    <w:p>
      <w:pPr>
        <w:pStyle w:val="Normal"/>
        <w:widowControl/>
        <w:ind w:firstLine="284" w:start="284" w:end="283"/>
        <w:jc w:val="both"/>
        <w:rPr>
          <w:color w:val="000000"/>
        </w:rPr>
      </w:pPr>
      <w:r>
        <w:rPr>
          <w:color w:val="000000"/>
        </w:rPr>
      </w:r>
    </w:p>
    <w:p>
      <w:pPr>
        <w:pStyle w:val="Normal"/>
        <w:widowControl/>
        <w:ind w:firstLine="284" w:start="284" w:end="283"/>
        <w:jc w:val="both"/>
        <w:rPr>
          <w:color w:val="000000"/>
        </w:rPr>
      </w:pPr>
      <w:r>
        <w:rPr/>
        <w:t>(</w:t>
      </w:r>
      <w:r>
        <w:rPr>
          <w:i/>
        </w:rPr>
        <w:t>Наименование Гаранта)</w:t>
      </w:r>
      <w:r>
        <w:rPr>
          <w:color w:val="000000"/>
        </w:rPr>
        <w:t>,  лицензия Центрального Банка Российской Федерации № _______ от «___» _________ года, расположенное по адресу: ___________, имеющее корреспондентский счет в _________ Банка России №________, БИК_______, ИНН_________, код ОКПО _________________, именуемое далее «Гарант», в лице (</w:t>
      </w:r>
      <w:r>
        <w:rPr>
          <w:i/>
          <w:color w:val="000000"/>
        </w:rPr>
        <w:t>должность уполномоченного лица Гаранта, Ф.И.О.</w:t>
      </w:r>
      <w:r>
        <w:rPr>
          <w:color w:val="000000"/>
        </w:rPr>
        <w:t>), действующего на основании ________(</w:t>
      </w:r>
      <w:r>
        <w:rPr>
          <w:i/>
          <w:color w:val="000000"/>
        </w:rPr>
        <w:t>Устава, Положения, доверенности №__ от “___”______г.</w:t>
      </w:r>
      <w:r>
        <w:rPr>
          <w:color w:val="000000"/>
        </w:rPr>
        <w:t>)_______, выдает ______________________, местонахождение: _____________, ИНН ____________, КПП ______________, р/с № ____________________ в ______________, г. _______________, БИК ______________________(</w:t>
      </w:r>
      <w:r>
        <w:rPr>
          <w:i/>
          <w:color w:val="000000"/>
        </w:rPr>
        <w:t>полное наименование Бенефициара/филиала Бенефициара, его адрес, банковские реквизиты</w:t>
      </w:r>
      <w:r>
        <w:rPr>
          <w:color w:val="000000"/>
        </w:rPr>
        <w:t xml:space="preserve">), именуемому далее «Бенефициар»,  настоящую банковскую гарантию (далее «Гарантия») в обеспечение исполнения ( </w:t>
      </w:r>
      <w:r>
        <w:rPr>
          <w:i/>
          <w:color w:val="000000"/>
        </w:rPr>
        <w:t>Наименование Принципала</w:t>
      </w:r>
      <w:r>
        <w:rPr>
          <w:color w:val="000000"/>
        </w:rPr>
        <w:t xml:space="preserve">) (адрес:_______;  почтовый адрес: ____________; ИНН ___________, КПП __________, ОГРН ________, р/с № _______________ в </w:t>
      </w:r>
      <w:r>
        <w:rPr>
          <w:i/>
          <w:color w:val="000000"/>
        </w:rPr>
        <w:t xml:space="preserve">наименование банк </w:t>
      </w:r>
      <w:r>
        <w:rPr>
          <w:color w:val="000000"/>
        </w:rPr>
        <w:t>, к/c № ______________, БИК ____________), именуемым далее «</w:t>
      </w:r>
      <w:r>
        <w:rPr>
          <w:b/>
          <w:color w:val="000000"/>
        </w:rPr>
        <w:t>Принципал</w:t>
      </w:r>
      <w:r>
        <w:rPr>
          <w:color w:val="000000"/>
        </w:rPr>
        <w:t>», для целей обеспечения заявки на участие в ____________</w:t>
      </w:r>
      <w:r>
        <w:rPr>
          <w:rStyle w:val="FootnoteReference"/>
          <w:color w:val="000000"/>
          <w:vertAlign w:val="superscript"/>
        </w:rPr>
        <w:footnoteReference w:id="4"/>
      </w:r>
      <w:r>
        <w:rPr>
          <w:color w:val="000000"/>
        </w:rPr>
        <w:t xml:space="preserve"> проводимом </w:t>
      </w:r>
      <w:r>
        <w:rPr>
          <w:b/>
          <w:color w:val="000000"/>
        </w:rPr>
        <w:t>Публичным акционерным обществом «Ростелеком» (ПАО «Ростелеком»)</w:t>
      </w:r>
      <w:r>
        <w:rPr>
          <w:color w:val="000000"/>
        </w:rPr>
        <w:t xml:space="preserve"> (адрес:  119167, Россия, г. Санкт-Петербург, вн.тер.г. муниципальный округ Смольнинское,  наб. Синопская, д. 14, литер А;  почтовый адрес: 115172, г. Москва, ул. Гончарная, д. 30; ИНН 7707049388, КПП 784201001, ОГРН 1027700198767) (извещение №___) (далее «Заявка»). Гарант принимает на себя обязательство без споров и возражений, не требуя от Бенефициара доказательств или обоснований требования на определенную в настоящей Гарантии сумму, уплатить по письменному требованию Бенефициара, подписанному уполномоченными на то лицами и скрепленному печатью Бенефициара, </w:t>
      </w:r>
      <w:r>
        <w:rPr/>
        <w:t xml:space="preserve">с приложением документов подтверждающих полномочия лица, подписавшего требование по Гарантии (решение об избрании, приказ о назначении, доверенность), </w:t>
      </w:r>
      <w:r>
        <w:rPr>
          <w:color w:val="000000"/>
        </w:rPr>
        <w:t>денежную сумму в размере обеспечения заявки, _______(_____________) (</w:t>
      </w:r>
      <w:r>
        <w:rPr>
          <w:i/>
          <w:color w:val="000000"/>
        </w:rPr>
        <w:t>цифрами и прописью</w:t>
      </w:r>
      <w:r>
        <w:rPr>
          <w:color w:val="000000"/>
        </w:rPr>
        <w:t xml:space="preserve">), указанную в документации о закупке по проведению________________ </w:t>
      </w:r>
      <w:r>
        <w:rPr>
          <w:rStyle w:val="FootnoteReference"/>
          <w:color w:val="000000"/>
          <w:vertAlign w:val="superscript"/>
        </w:rPr>
        <w:footnoteReference w:id="5"/>
      </w:r>
      <w:r>
        <w:rPr>
          <w:color w:val="000000"/>
        </w:rPr>
        <w:t xml:space="preserve"> на право заключения Договора _____________ (</w:t>
      </w:r>
      <w:r>
        <w:rPr>
          <w:i/>
          <w:color w:val="000000"/>
        </w:rPr>
        <w:t>указать предмет Договора</w:t>
      </w:r>
      <w:r>
        <w:rPr>
          <w:color w:val="000000"/>
        </w:rPr>
        <w:t xml:space="preserve">) на счет Бенефициара, указанный в требовании, в качестве обеспечения Заявки в случае неисполнения или ненадлежащего исполнения Принципалом нижеследующих обязательств: </w:t>
      </w:r>
    </w:p>
    <w:p>
      <w:pPr>
        <w:pStyle w:val="Normal"/>
        <w:widowControl/>
        <w:ind w:firstLine="284" w:start="284" w:end="283"/>
        <w:jc w:val="both"/>
        <w:rPr>
          <w:color w:val="000000"/>
        </w:rPr>
      </w:pPr>
      <w:r>
        <w:rPr>
          <w:color w:val="000000"/>
        </w:rPr>
        <w:t>- изменения или отзыва Принципалом заявки на участие в ____________</w:t>
      </w:r>
      <w:r>
        <w:rPr>
          <w:rStyle w:val="FootnoteReference"/>
          <w:color w:val="000000"/>
          <w:vertAlign w:val="superscript"/>
        </w:rPr>
        <w:footnoteReference w:id="6"/>
      </w:r>
      <w:r>
        <w:rPr>
          <w:color w:val="000000"/>
        </w:rPr>
        <w:t xml:space="preserve"> , после истечения срока предоставления Заявок, установленного извещением о закупке и документацией о закупке;</w:t>
      </w:r>
    </w:p>
    <w:p>
      <w:pPr>
        <w:pStyle w:val="Normal"/>
        <w:widowControl/>
        <w:ind w:firstLine="284" w:start="284" w:end="283"/>
        <w:jc w:val="both"/>
        <w:rPr>
          <w:color w:val="000000"/>
        </w:rPr>
      </w:pPr>
      <w:r>
        <w:rPr>
          <w:color w:val="000000"/>
        </w:rPr>
        <w:t>- уклонения Принципала от заключения договора, если по результатам проведения ____________</w:t>
      </w:r>
      <w:r>
        <w:rPr>
          <w:rStyle w:val="FootnoteReference"/>
          <w:color w:val="000000"/>
          <w:vertAlign w:val="superscript"/>
        </w:rPr>
        <w:footnoteReference w:id="7"/>
      </w:r>
      <w:r>
        <w:rPr>
          <w:color w:val="000000"/>
        </w:rPr>
        <w:t xml:space="preserve"> Принципал будет признан участником, для которого заключение договора является обязательным.</w:t>
      </w:r>
    </w:p>
    <w:p>
      <w:pPr>
        <w:pStyle w:val="Normal"/>
        <w:widowControl/>
        <w:ind w:firstLine="284" w:start="284" w:end="283"/>
        <w:jc w:val="both"/>
        <w:rPr>
          <w:color w:val="000000"/>
        </w:rPr>
      </w:pPr>
      <w:r>
        <w:rPr>
          <w:color w:val="000000"/>
        </w:rPr>
        <w:t>Обязательство Гаранта перед Бенефициаром по настоящей Гарантии ограничивается суммой, на которую она выдана.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pPr>
        <w:pStyle w:val="Normal"/>
        <w:widowControl/>
        <w:ind w:firstLine="284" w:start="284" w:end="283"/>
        <w:jc w:val="both"/>
        <w:rPr>
          <w:color w:val="000000"/>
        </w:rPr>
      </w:pPr>
      <w:r>
        <w:rPr>
          <w:color w:val="000000"/>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pPr>
        <w:pStyle w:val="Normal"/>
        <w:widowControl w:val="false"/>
        <w:ind w:firstLine="284" w:start="284" w:end="283"/>
        <w:jc w:val="both"/>
        <w:rPr>
          <w:color w:val="000000"/>
        </w:rPr>
      </w:pPr>
      <w:r>
        <w:rPr>
          <w:color w:val="000000"/>
        </w:rPr>
        <w:t>Платеж по Гарантии должен быть осуществлен в течение 5 (Пяти) рабочих дней после получения письменного требования Бенефициара. 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pPr>
        <w:pStyle w:val="Normal"/>
        <w:widowControl/>
        <w:ind w:firstLine="284" w:start="284" w:end="283"/>
        <w:jc w:val="both"/>
        <w:rPr>
          <w:color w:val="000000"/>
        </w:rPr>
      </w:pPr>
      <w:r>
        <w:rPr>
          <w:color w:val="000000"/>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pPr>
        <w:pStyle w:val="Normal"/>
        <w:widowControl/>
        <w:ind w:firstLine="284" w:start="284" w:end="283"/>
        <w:jc w:val="both"/>
        <w:rPr>
          <w:color w:val="000000"/>
        </w:rPr>
      </w:pPr>
      <w:r>
        <w:rPr>
          <w:color w:val="000000"/>
        </w:rPr>
        <w:t>Настоящая Гарантия вступает в силу с «___» __________ 20__г. (</w:t>
      </w:r>
      <w:r>
        <w:rPr>
          <w:i/>
          <w:color w:val="000000"/>
        </w:rPr>
        <w:t>Гарантия вступает в силу со дня ее выдачи, если в гарантии не предусмотрено иное</w:t>
      </w:r>
      <w:r>
        <w:rPr>
          <w:color w:val="000000"/>
        </w:rPr>
        <w:t>) и действует по «___» __________ 20__ г. включительно (</w:t>
      </w:r>
      <w:r>
        <w:rPr>
          <w:i/>
          <w:color w:val="000000"/>
        </w:rPr>
        <w:t>действует не менее 90 (Девяносто) календарных дней со дня, следующего за установленной датой открытия доступа к Заявкам, которая указана в извещении о закупке и документации о закупке ____________</w:t>
      </w:r>
      <w:r>
        <w:rPr>
          <w:rStyle w:val="FootnoteReference"/>
          <w:i/>
          <w:color w:val="000000"/>
          <w:vertAlign w:val="superscript"/>
        </w:rPr>
        <w:footnoteReference w:id="8"/>
      </w:r>
      <w:r>
        <w:rPr>
          <w:color w:val="000000"/>
        </w:rPr>
        <w:t>).</w:t>
      </w:r>
    </w:p>
    <w:p>
      <w:pPr>
        <w:pStyle w:val="Normal"/>
        <w:widowControl/>
        <w:ind w:firstLine="284" w:start="284" w:end="283"/>
        <w:jc w:val="both"/>
        <w:rPr>
          <w:color w:val="000000"/>
        </w:rPr>
      </w:pPr>
      <w:r>
        <w:rPr>
          <w:color w:val="000000"/>
        </w:rPr>
        <w:tab/>
        <w:t>Настоящая Гарантия не может быть отозвана Гарантом.</w:t>
      </w:r>
    </w:p>
    <w:p>
      <w:pPr>
        <w:pStyle w:val="Normal"/>
        <w:widowControl/>
        <w:ind w:firstLine="284" w:start="284" w:end="283"/>
        <w:jc w:val="both"/>
        <w:rPr>
          <w:color w:val="000000"/>
        </w:rPr>
      </w:pPr>
      <w:r>
        <w:rPr>
          <w:color w:val="000000"/>
        </w:rPr>
        <w:tab/>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pPr>
        <w:pStyle w:val="Normal"/>
        <w:widowControl/>
        <w:ind w:firstLine="284" w:start="284" w:end="283"/>
        <w:jc w:val="both"/>
        <w:rPr>
          <w:color w:val="000000"/>
        </w:rPr>
      </w:pPr>
      <w:r>
        <w:rPr>
          <w:color w:val="000000"/>
        </w:rPr>
        <w:t>По окончании срока действия Гарантии Бенефициар не возвращает Гаранту оригинал настоящей Гарантии.</w:t>
      </w:r>
    </w:p>
    <w:p>
      <w:pPr>
        <w:pStyle w:val="Normal"/>
        <w:widowControl/>
        <w:ind w:hanging="0" w:start="284" w:end="283"/>
        <w:jc w:val="both"/>
        <w:rPr>
          <w:color w:val="000000"/>
        </w:rPr>
      </w:pPr>
      <w:r>
        <w:rPr>
          <w:color w:val="000000"/>
        </w:rPr>
      </w:r>
    </w:p>
    <w:p>
      <w:pPr>
        <w:pStyle w:val="Normal"/>
        <w:widowControl/>
        <w:ind w:hanging="0" w:start="284" w:end="283"/>
        <w:jc w:val="both"/>
        <w:rPr/>
      </w:pPr>
      <w:r>
        <w:rPr>
          <w:b/>
        </w:rPr>
        <w:t>Должность уполномоченного лица  Гаранта   ________________       (Ф.И.О.)</w:t>
      </w:r>
    </w:p>
    <w:p>
      <w:pPr>
        <w:pStyle w:val="Normal"/>
        <w:widowControl/>
        <w:ind w:firstLine="567" w:start="0" w:end="0"/>
        <w:rPr>
          <w:b/>
        </w:rPr>
      </w:pPr>
      <w:r>
        <w:rPr>
          <w:b/>
        </w:rPr>
        <w:t>М.П.</w:t>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b/>
        </w:rPr>
      </w:pPr>
      <w:r>
        <w:rPr>
          <w:b/>
        </w:rPr>
      </w:r>
    </w:p>
    <w:p>
      <w:pPr>
        <w:pStyle w:val="Normal"/>
        <w:widowControl/>
        <w:ind w:firstLine="567" w:start="0" w:end="0"/>
        <w:rPr>
          <w:i/>
          <w:i/>
          <w:u w:val="single"/>
        </w:rPr>
      </w:pPr>
      <w:r>
        <w:rPr>
          <w:i/>
          <w:u w:val="single"/>
        </w:rPr>
      </w:r>
    </w:p>
    <w:p>
      <w:pPr>
        <w:pStyle w:val="Normal"/>
        <w:widowControl/>
        <w:ind w:firstLine="567" w:start="0" w:end="0"/>
        <w:rPr>
          <w:i/>
          <w:i/>
          <w:u w:val="single"/>
        </w:rPr>
      </w:pPr>
      <w:r>
        <w:rPr>
          <w:i/>
          <w:u w:val="single"/>
        </w:rPr>
      </w:r>
    </w:p>
    <w:p>
      <w:pPr>
        <w:pStyle w:val="Normal"/>
        <w:widowControl/>
        <w:ind w:firstLine="567" w:start="0" w:end="0"/>
        <w:rPr>
          <w:i/>
          <w:i/>
          <w:u w:val="single"/>
        </w:rPr>
      </w:pPr>
      <w:r>
        <w:rPr>
          <w:i/>
          <w:u w:val="single"/>
        </w:rPr>
      </w:r>
    </w:p>
    <w:p>
      <w:pPr>
        <w:pStyle w:val="Heading1"/>
        <w:keepLines w:val="false"/>
        <w:widowControl/>
        <w:tabs>
          <w:tab w:val="clear" w:pos="720"/>
          <w:tab w:val="left" w:pos="6424" w:leader="none"/>
        </w:tabs>
        <w:spacing w:before="240" w:after="120"/>
        <w:ind w:hanging="360" w:start="792" w:end="0"/>
        <w:jc w:val="end"/>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end"/>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end"/>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end"/>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end"/>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end"/>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end"/>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end"/>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end"/>
        <w:rPr>
          <w:rFonts w:ascii="Times New Roman" w:hAnsi="Times New Roman"/>
          <w:color w:val="17365D"/>
        </w:rPr>
      </w:pPr>
      <w:r>
        <w:rPr>
          <w:rFonts w:ascii="Times New Roman" w:hAnsi="Times New Roman"/>
          <w:color w:val="17365D"/>
        </w:rPr>
      </w:r>
    </w:p>
    <w:p>
      <w:pPr>
        <w:pStyle w:val="Heading1"/>
        <w:widowControl/>
        <w:tabs>
          <w:tab w:val="clear" w:pos="720"/>
          <w:tab w:val="left" w:pos="6424" w:leader="none"/>
        </w:tabs>
        <w:spacing w:before="240" w:after="120"/>
        <w:ind w:hanging="360" w:start="792" w:end="0"/>
        <w:jc w:val="end"/>
        <w:rPr>
          <w:rFonts w:ascii="Times New Roman" w:hAnsi="Times New Roman"/>
          <w:color w:val="17365D"/>
        </w:rPr>
      </w:pPr>
      <w:bookmarkStart w:id="183" w:name="__RefHeading___46"/>
      <w:bookmarkEnd w:id="183"/>
      <w:r>
        <w:rPr>
          <w:rFonts w:ascii="Times New Roman" w:hAnsi="Times New Roman"/>
          <w:color w:val="17365D"/>
        </w:rPr>
        <w:t>Приложение № 2</w:t>
      </w:r>
    </w:p>
    <w:p>
      <w:pPr>
        <w:pStyle w:val="Normal"/>
        <w:widowControl/>
        <w:jc w:val="end"/>
        <w:rPr>
          <w:i/>
          <w:i/>
        </w:rPr>
      </w:pPr>
      <w:r>
        <w:rPr>
          <w:i/>
        </w:rPr>
        <w:t xml:space="preserve">К документации о проведении </w:t>
      </w:r>
    </w:p>
    <w:p>
      <w:pPr>
        <w:pStyle w:val="Normal"/>
        <w:widowControl/>
        <w:jc w:val="end"/>
        <w:rPr>
          <w:i/>
          <w:i/>
        </w:rPr>
      </w:pPr>
      <w:r>
        <w:rPr>
          <w:i/>
        </w:rPr>
        <w:t>запроса цен</w:t>
      </w:r>
    </w:p>
    <w:p>
      <w:pPr>
        <w:pStyle w:val="Normal"/>
        <w:widowControl/>
        <w:jc w:val="end"/>
        <w:rPr>
          <w:i/>
          <w:i/>
        </w:rPr>
      </w:pPr>
      <w:r>
        <w:rPr>
          <w:i/>
        </w:rPr>
      </w:r>
    </w:p>
    <w:p>
      <w:pPr>
        <w:pStyle w:val="rvps91"/>
        <w:widowControl/>
        <w:ind w:firstLine="459" w:start="0" w:end="0"/>
        <w:rPr>
          <w:i/>
          <w:i/>
        </w:rPr>
      </w:pPr>
      <w:r>
        <w:rPr>
          <w:i/>
        </w:rPr>
        <w:t>Предоставляется в соответствии с пунктом «Обеспечение исполнения договора, размер, срок и порядок его предоставления»</w:t>
      </w:r>
      <w:r>
        <w:rPr>
          <w:rStyle w:val="FootnoteReference"/>
          <w:i/>
        </w:rPr>
        <w:footnoteReference w:id="9"/>
      </w:r>
    </w:p>
    <w:p>
      <w:pPr>
        <w:pStyle w:val="Normal"/>
        <w:rPr/>
      </w:pPr>
      <w:r>
        <w:rPr/>
      </w:r>
    </w:p>
    <w:p>
      <w:pPr>
        <w:pStyle w:val="Normal"/>
        <w:widowControl/>
        <w:jc w:val="center"/>
        <w:rPr/>
      </w:pPr>
      <w:r>
        <w:rPr/>
        <w:t>БАНКОВСКАЯ  ГАРАНТИЯ № _______</w:t>
      </w:r>
    </w:p>
    <w:p>
      <w:pPr>
        <w:pStyle w:val="Normal"/>
        <w:widowControl/>
        <w:jc w:val="center"/>
        <w:rPr/>
      </w:pPr>
      <w:r>
        <w:rPr/>
      </w:r>
    </w:p>
    <w:p>
      <w:pPr>
        <w:pStyle w:val="Normal"/>
        <w:widowControl/>
        <w:ind w:firstLine="284" w:start="284" w:end="283"/>
        <w:jc w:val="both"/>
        <w:rPr>
          <w:color w:val="000000"/>
        </w:rPr>
      </w:pPr>
      <w:r>
        <w:rPr>
          <w:color w:val="000000"/>
        </w:rPr>
        <w:t>Для_____________________________________</w:t>
        <w:tab/>
        <w:tab/>
        <w:tab/>
        <w:tab/>
        <w:tab/>
        <w:tab/>
        <w:tab/>
        <w:tab/>
        <w:tab/>
        <w:t>«____» ________ г.</w:t>
      </w:r>
    </w:p>
    <w:p>
      <w:pPr>
        <w:pStyle w:val="Normal"/>
        <w:widowControl/>
        <w:ind w:firstLine="284" w:start="284" w:end="283"/>
        <w:jc w:val="both"/>
        <w:rPr>
          <w:i/>
          <w:i/>
          <w:color w:val="000000"/>
        </w:rPr>
      </w:pPr>
      <w:r>
        <w:rPr>
          <w:color w:val="000000"/>
        </w:rPr>
        <w:t>(</w:t>
      </w:r>
      <w:r>
        <w:rPr>
          <w:i/>
          <w:color w:val="000000"/>
        </w:rPr>
        <w:t>полное наименование Бенефициара, его адрес</w:t>
      </w:r>
      <w:r>
        <w:rPr>
          <w:color w:val="000000"/>
        </w:rPr>
        <w:t>)</w:t>
        <w:tab/>
        <w:tab/>
        <w:tab/>
        <w:tab/>
        <w:tab/>
        <w:tab/>
        <w:tab/>
        <w:tab/>
        <w:tab/>
        <w:tab/>
      </w:r>
      <w:r>
        <w:rPr>
          <w:i/>
          <w:color w:val="000000"/>
        </w:rPr>
        <w:t>(дата выдачи)</w:t>
      </w:r>
    </w:p>
    <w:p>
      <w:pPr>
        <w:pStyle w:val="Normal"/>
        <w:widowControl/>
        <w:tabs>
          <w:tab w:val="clear" w:pos="720"/>
          <w:tab w:val="left" w:pos="360" w:leader="none"/>
          <w:tab w:val="left" w:pos="709" w:leader="none"/>
          <w:tab w:val="left" w:pos="851" w:leader="none"/>
        </w:tabs>
        <w:ind w:firstLine="284" w:start="284" w:end="284"/>
        <w:jc w:val="both"/>
        <w:rPr/>
      </w:pPr>
      <w:r>
        <w:rPr/>
        <w:tab/>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ab/>
        <w:t xml:space="preserve"> (</w:t>
      </w:r>
      <w:r>
        <w:rPr>
          <w:i/>
          <w:u w:val="single"/>
        </w:rPr>
        <w:t>Наименование Гаранта)</w:t>
      </w:r>
      <w:r>
        <w:rP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Pr>
          <w:i/>
        </w:rPr>
        <w:t>должность уполномоченного лица Гаранта, Ф.И.О.</w:t>
      </w:r>
      <w:r>
        <w:rPr/>
        <w:t xml:space="preserve">), действующего на основании </w:t>
      </w:r>
      <w:r>
        <w:rPr>
          <w:i/>
          <w:u w:val="single"/>
        </w:rPr>
        <w:t>(Устава, Положения, Доверенности)</w:t>
      </w:r>
      <w:r>
        <w:rPr/>
        <w:t xml:space="preserve">, выдает </w:t>
      </w:r>
      <w:r>
        <w:rPr>
          <w:b/>
        </w:rPr>
        <w:t>______________________</w:t>
      </w:r>
      <w:r>
        <w:rPr/>
        <w:t>, местонахождение: _____________, ИНН ____________, КПП ______________, р/с № ____________________ в ______________, г. _______________, БИК ______________________(</w:t>
      </w:r>
      <w:r>
        <w:rPr>
          <w:i/>
        </w:rPr>
        <w:t>полное наименование Бенефициара/филиала Бенефициара, его адрес, банковские реквизиты</w:t>
      </w:r>
      <w:r>
        <w:rPr/>
        <w:t xml:space="preserve">), именуемому далее «Бенефициар», настоящую банковскую гарантию (далее – «Гарантия») в обеспечение исполнения ( </w:t>
      </w:r>
      <w:r>
        <w:rPr>
          <w:i/>
        </w:rPr>
        <w:t>Наименование Принципала</w:t>
      </w:r>
      <w:r>
        <w:rPr/>
        <w:t xml:space="preserve">) (адрес:_______; почтовый адрес: ____________; ИНН ___________, КПП __________, ОГРН ________, р/с № _______________ в </w:t>
      </w:r>
      <w:r>
        <w:rPr>
          <w:i/>
          <w:u w:val="single"/>
        </w:rPr>
        <w:t xml:space="preserve">наименование банк  </w:t>
      </w:r>
      <w:r>
        <w:rPr/>
        <w:t>, к/c № ______________, БИК ____________), именуемым далее «</w:t>
      </w:r>
      <w:r>
        <w:rPr>
          <w:b/>
        </w:rPr>
        <w:t>Принципал</w:t>
      </w:r>
      <w:r>
        <w:rPr/>
        <w:t xml:space="preserve">», обязательств </w:t>
      </w:r>
      <w:r>
        <w:rPr>
          <w:b/>
        </w:rPr>
        <w:t>___________________________________</w:t>
      </w:r>
      <w:r>
        <w:rPr/>
        <w:t xml:space="preserve">, предусмотренных договором, который будет заключен между Принципалом и Бенефициаром на основании </w:t>
      </w:r>
      <w:r>
        <w:rPr>
          <w:color w:val="000000"/>
        </w:rPr>
        <w:t>____________</w:t>
      </w:r>
      <w:r>
        <w:rPr>
          <w:rStyle w:val="FootnoteReference"/>
          <w:color w:val="000000"/>
          <w:vertAlign w:val="superscript"/>
        </w:rPr>
        <w:footnoteReference w:id="10"/>
      </w:r>
      <w:r>
        <w:rPr/>
        <w:t xml:space="preserve"> (далее «Договор»). </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денежную сумму в размере __________________(_____________) (</w:t>
      </w:r>
      <w:r>
        <w:rPr>
          <w:i/>
        </w:rPr>
        <w:t>цифрами и прописью</w:t>
      </w:r>
      <w:r>
        <w:rP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Обязательство Гаранта перед Бенефициаром по настоящей Гарантии ограничивается суммой, на которую она выдана.</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 xml:space="preserve"> </w:t>
      </w:r>
      <w:r>
        <w:rPr/>
        <w:t>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 xml:space="preserve">Платеж по Гарантии должен быть осуществлен в течение 5 (Пяти) рабочих дней после получения письменного требования Бенефициара. </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Настоящая Гарантия вступает в силу с «__» ______ 20__ г. (</w:t>
      </w:r>
      <w:r>
        <w:rPr>
          <w:i/>
        </w:rPr>
        <w:t>Банковская гарантия вступает в силу со дня ее выдачи, если в гарантии не предусмотрено иное</w:t>
      </w:r>
      <w:r>
        <w:rPr/>
        <w:t>) и действует по «___» _________ 20__г. включительно (</w:t>
      </w:r>
      <w:r>
        <w:rPr>
          <w:i/>
        </w:rPr>
        <w:t>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r>
        <w:rPr/>
        <w:t xml:space="preserve">). </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Изменения и дополнения, внесенные в Договор, не освобождают Гаранта от обязательств по настоящей Гарантии.</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Настоящая Гарантия не может быть отозвана Гарантом.</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t>По окончании срока действия Гарантии Бенефициар не возвращает Гаранту оригинал настоящей Гарантии.</w:t>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r>
    </w:p>
    <w:p>
      <w:pPr>
        <w:pStyle w:val="Normal"/>
        <w:widowControl/>
        <w:tabs>
          <w:tab w:val="clear" w:pos="720"/>
          <w:tab w:val="left" w:pos="0" w:leader="none"/>
          <w:tab w:val="left" w:pos="709" w:leader="none"/>
          <w:tab w:val="left" w:pos="851" w:leader="none"/>
          <w:tab w:val="left" w:pos="10347" w:leader="none"/>
        </w:tabs>
        <w:ind w:firstLine="284" w:start="284" w:end="-1"/>
        <w:jc w:val="both"/>
        <w:rPr/>
      </w:pPr>
      <w:r>
        <w:rPr/>
      </w:r>
    </w:p>
    <w:p>
      <w:pPr>
        <w:pStyle w:val="Normal"/>
        <w:widowControl/>
        <w:tabs>
          <w:tab w:val="clear" w:pos="720"/>
          <w:tab w:val="left" w:pos="0" w:leader="none"/>
          <w:tab w:val="left" w:pos="709" w:leader="none"/>
          <w:tab w:val="left" w:pos="851" w:leader="none"/>
          <w:tab w:val="left" w:pos="10347" w:leader="none"/>
        </w:tabs>
        <w:ind w:firstLine="284" w:start="284" w:end="-1"/>
        <w:jc w:val="both"/>
        <w:rPr>
          <w:b/>
        </w:rPr>
      </w:pPr>
      <w:r>
        <w:rPr>
          <w:b/>
        </w:rPr>
        <w:t xml:space="preserve">Должность уполномоченного лица Гаранта </w:t>
      </w:r>
      <w:r>
        <w:rPr/>
        <w:t xml:space="preserve">            __________</w:t>
      </w:r>
      <w:r>
        <w:rPr>
          <w:b/>
        </w:rPr>
        <w:t xml:space="preserve">        (Ф.И.О.)</w:t>
      </w:r>
    </w:p>
    <w:p>
      <w:pPr>
        <w:pStyle w:val="Normal"/>
        <w:widowControl/>
        <w:tabs>
          <w:tab w:val="clear" w:pos="720"/>
          <w:tab w:val="left" w:pos="709" w:leader="none"/>
          <w:tab w:val="left" w:pos="851" w:leader="none"/>
        </w:tabs>
        <w:ind w:firstLine="284" w:start="284" w:end="284"/>
        <w:rPr/>
      </w:pPr>
      <w:r>
        <w:rPr>
          <w:b/>
        </w:rPr>
        <w:t>М. П.</w:t>
      </w:r>
    </w:p>
    <w:p>
      <w:pPr>
        <w:pStyle w:val="rvps11"/>
        <w:rPr/>
      </w:pPr>
      <w:r>
        <w:rPr/>
      </w:r>
    </w:p>
    <w:sectPr>
      <w:headerReference w:type="even" r:id="rId33"/>
      <w:headerReference w:type="default" r:id="rId34"/>
      <w:headerReference w:type="first" r:id="rId35"/>
      <w:footnotePr>
        <w:numFmt w:val="decimal"/>
      </w:footnotePr>
      <w:type w:val="nextPage"/>
      <w:pgSz w:w="11906" w:h="16838"/>
      <w:pgMar w:left="1134" w:right="567" w:gutter="0" w:header="720" w:top="851"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XO Thames">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Arial (WT)">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2"/>
        <w:widowControl/>
        <w:jc w:val="both"/>
        <w:rPr/>
      </w:pPr>
      <w:r>
        <w:rPr>
          <w:rStyle w:val="Style11"/>
        </w:rPr>
        <w:footnoteRef/>
      </w:r>
      <w:r>
        <w:rPr/>
        <w:t xml:space="preserve"> </w:t>
      </w:r>
      <w:r>
        <w:rPr>
          <w:i/>
        </w:rPr>
        <w:t>В рамках согласования заказа Заказчик вправе запросить у поставщика/подрядчика/исполнителя дополнительную скидку от цен за единицу товара (работы, услуги), определенных в договоре. Поставщик/подрядчик/исполнитель вправе предложить дополнительную скидку от цен за единицу товара (работы, услуги), определенных в договоре.</w:t>
      </w:r>
    </w:p>
  </w:footnote>
  <w:footnote w:id="3">
    <w:p>
      <w:pPr>
        <w:pStyle w:val="Footnote2"/>
        <w:widowControl/>
        <w:jc w:val="both"/>
        <w:rPr/>
      </w:pPr>
      <w:r>
        <w:rPr>
          <w:rStyle w:val="Style11"/>
        </w:rPr>
        <w:footnoteRef/>
      </w:r>
      <w:r>
        <w:rPr/>
        <w:t xml:space="preserve"> </w:t>
      </w:r>
      <w:r>
        <w:rPr/>
        <w:t xml:space="preserve">Номер реестровой записи указывается в случае, если предлагаемый к поставке товар включен в реестр (один из реестров), указанных в </w:t>
      </w:r>
      <w:r>
        <w:rPr>
          <w:sz w:val="22"/>
        </w:rPr>
        <w:t xml:space="preserve">п. </w:t>
      </w:r>
      <w:r>
        <w:rPr/>
        <w:t xml:space="preserve"> </w:t>
      </w:r>
      <w:r>
        <w:rPr>
          <w:sz w:val="22"/>
        </w:rPr>
        <w:t xml:space="preserve">раздела </w:t>
      </w:r>
      <w:hyperlink w:anchor="_РАЗДЕЛ_II._ИНФОРМАЦИОННАЯ_1">
        <w:r>
          <w:rPr>
            <w:rStyle w:val="Hyperlink"/>
            <w:sz w:val="22"/>
          </w:rPr>
          <w:t>II «ИНФОРМАЦИОННАЯ КАРТА»</w:t>
        </w:r>
      </w:hyperlink>
      <w:r>
        <w:rPr/>
        <w:t xml:space="preserve"> документации.</w:t>
      </w:r>
    </w:p>
  </w:footnote>
  <w:footnote w:id="4">
    <w:p>
      <w:pPr>
        <w:pStyle w:val="Footnote2"/>
        <w:rPr>
          <w:i/>
          <w:i/>
          <w:sz w:val="18"/>
        </w:rPr>
      </w:pPr>
      <w:r>
        <w:rPr>
          <w:rStyle w:val="Style11"/>
        </w:rPr>
        <w:footnoteRef/>
      </w:r>
      <w:r>
        <w:rPr>
          <w:i/>
          <w:sz w:val="18"/>
        </w:rPr>
        <w:t xml:space="preserve"> </w:t>
      </w:r>
      <w:r>
        <w:rPr>
          <w:i/>
          <w:sz w:val="18"/>
        </w:rPr>
        <w:t>Указывается наименование закупочной процедуры</w:t>
      </w:r>
    </w:p>
  </w:footnote>
  <w:footnote w:id="5">
    <w:p>
      <w:pPr>
        <w:pStyle w:val="Footnote2"/>
        <w:rPr/>
      </w:pPr>
      <w:r>
        <w:rPr>
          <w:rStyle w:val="Style11"/>
        </w:rPr>
        <w:footnoteRef/>
      </w:r>
      <w:r>
        <w:rPr/>
        <w:t xml:space="preserve"> </w:t>
      </w:r>
      <w:r>
        <w:rPr>
          <w:i/>
          <w:sz w:val="18"/>
        </w:rPr>
        <w:t>Указывается наименование закупочной процедуры</w:t>
      </w:r>
    </w:p>
  </w:footnote>
  <w:footnote w:id="6">
    <w:p>
      <w:pPr>
        <w:pStyle w:val="Footnote2"/>
        <w:rPr>
          <w:i/>
          <w:i/>
          <w:sz w:val="18"/>
        </w:rPr>
      </w:pPr>
      <w:r>
        <w:rPr>
          <w:rStyle w:val="Style11"/>
        </w:rPr>
        <w:footnoteRef/>
      </w:r>
      <w:r>
        <w:rPr>
          <w:i/>
          <w:sz w:val="18"/>
        </w:rPr>
        <w:t xml:space="preserve"> </w:t>
      </w:r>
      <w:r>
        <w:rPr>
          <w:i/>
          <w:sz w:val="18"/>
        </w:rPr>
        <w:t>Указывается наименование закупочной процедуры</w:t>
      </w:r>
    </w:p>
  </w:footnote>
  <w:footnote w:id="7">
    <w:p>
      <w:pPr>
        <w:pStyle w:val="Footnote2"/>
        <w:rPr>
          <w:i/>
          <w:i/>
          <w:sz w:val="18"/>
        </w:rPr>
      </w:pPr>
      <w:r>
        <w:rPr>
          <w:rStyle w:val="Style11"/>
        </w:rPr>
        <w:footnoteRef/>
      </w:r>
      <w:r>
        <w:rPr>
          <w:i/>
          <w:sz w:val="18"/>
        </w:rPr>
        <w:t xml:space="preserve"> </w:t>
      </w:r>
      <w:r>
        <w:rPr>
          <w:i/>
          <w:sz w:val="18"/>
        </w:rPr>
        <w:t>Указывается наименование закупочной процедуры</w:t>
      </w:r>
    </w:p>
  </w:footnote>
  <w:footnote w:id="8">
    <w:p>
      <w:pPr>
        <w:pStyle w:val="Footnote2"/>
        <w:rPr>
          <w:i/>
          <w:i/>
        </w:rPr>
      </w:pPr>
      <w:r>
        <w:rPr>
          <w:rStyle w:val="Style11"/>
        </w:rPr>
        <w:footnoteRef/>
      </w:r>
      <w:r>
        <w:rPr>
          <w:i/>
          <w:sz w:val="18"/>
        </w:rPr>
        <w:t xml:space="preserve"> </w:t>
      </w:r>
      <w:r>
        <w:rPr>
          <w:i/>
          <w:sz w:val="18"/>
        </w:rPr>
        <w:t>Указывается наименование закупочной процедуры</w:t>
      </w:r>
    </w:p>
  </w:footnote>
  <w:footnote w:id="9">
    <w:p>
      <w:pPr>
        <w:pStyle w:val="Footnote2"/>
        <w:rPr/>
      </w:pPr>
      <w:r>
        <w:rPr>
          <w:rStyle w:val="Style11"/>
        </w:rPr>
        <w:footnoteRef/>
      </w:r>
      <w:r>
        <w:rPr/>
        <w:t xml:space="preserve"> </w:t>
      </w:r>
      <w:r>
        <w:rPr>
          <w:i/>
          <w:sz w:val="18"/>
        </w:rPr>
        <w:t>Данный текст необходимо удалить</w:t>
      </w:r>
    </w:p>
  </w:footnote>
  <w:footnote w:id="10">
    <w:p>
      <w:pPr>
        <w:pStyle w:val="Footnote2"/>
        <w:rPr>
          <w:i/>
          <w:i/>
          <w:sz w:val="18"/>
        </w:rPr>
      </w:pPr>
      <w:r>
        <w:rPr>
          <w:rStyle w:val="Style11"/>
        </w:rPr>
        <w:footnoteRef/>
      </w:r>
      <w:r>
        <w:rPr>
          <w:i/>
          <w:sz w:val="18"/>
        </w:rPr>
        <w:t xml:space="preserve"> </w:t>
      </w:r>
      <w:r>
        <w:rPr>
          <w:i/>
          <w:sz w:val="18"/>
        </w:rPr>
        <w:t>Указывается наименование закупочной процедуры</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48</w:t>
    </w:r>
    <w:r>
      <w:rPr/>
      <w:fldChar w:fldCharType="end"/>
    </w:r>
  </w:p>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48</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10</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40</w:t>
    </w:r>
    <w:r>
      <w:rPr/>
      <w:fldChar w:fldCharType="end"/>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0</w:t>
    </w:r>
    <w:r>
      <w:rPr/>
      <w:fldChar w:fldCharType="end"/>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sz w:val="28"/>
      </w:rPr>
    </w:lvl>
    <w:lvl w:ilvl="1">
      <w:start w:val="1"/>
      <w:numFmt w:val="decimal"/>
      <w:lvlText w:val="%1.%2."/>
      <w:lvlJc w:val="start"/>
      <w:pPr>
        <w:tabs>
          <w:tab w:val="num" w:pos="2771"/>
        </w:tabs>
        <w:ind w:start="2771" w:hanging="360"/>
      </w:pPr>
      <w:rPr>
        <w:b/>
      </w:rPr>
    </w:lvl>
    <w:lvl w:ilvl="2">
      <w:start w:val="1"/>
      <w:numFmt w:val="decimal"/>
      <w:lvlText w:val="%1.%2.%3."/>
      <w:lvlJc w:val="start"/>
      <w:pPr>
        <w:tabs>
          <w:tab w:val="num" w:pos="1004"/>
        </w:tabs>
        <w:ind w:start="1004"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1"/>
      <w:numFmt w:val="russianLower"/>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3">
    <w:lvl w:ilvl="0">
      <w:start w:val="1"/>
      <w:numFmt w:val="russianLower"/>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4">
    <w:lvl w:ilvl="0">
      <w:start w:val="2"/>
      <w:numFmt w:val="decimal"/>
      <w:lvlText w:val="%1."/>
      <w:lvlJc w:val="start"/>
      <w:pPr>
        <w:tabs>
          <w:tab w:val="num" w:pos="360"/>
        </w:tabs>
        <w:ind w:start="360" w:hanging="360"/>
      </w:pPr>
      <w:rPr/>
    </w:lvl>
    <w:lvl w:ilvl="1">
      <w:start w:val="1"/>
      <w:numFmt w:val="decimal"/>
      <w:lvlText w:val="%1.%2."/>
      <w:lvlJc w:val="start"/>
      <w:pPr>
        <w:tabs>
          <w:tab w:val="num" w:pos="2771"/>
        </w:tabs>
        <w:ind w:start="2771" w:hanging="360"/>
      </w:pPr>
      <w:rPr>
        <w:b/>
      </w:rPr>
    </w:lvl>
    <w:lvl w:ilvl="2">
      <w:start w:val="1"/>
      <w:numFmt w:val="decimal"/>
      <w:lvlText w:val="%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2"/>
      <w:numFmt w:val="decimal"/>
      <w:lvlText w:val="%1."/>
      <w:lvlJc w:val="start"/>
      <w:pPr>
        <w:tabs>
          <w:tab w:val="num" w:pos="360"/>
        </w:tabs>
        <w:ind w:start="360" w:hanging="360"/>
      </w:pPr>
      <w:rPr/>
    </w:lvl>
    <w:lvl w:ilvl="1">
      <w:start w:val="1"/>
      <w:numFmt w:val="decimal"/>
      <w:lvlText w:val="%1.%2."/>
      <w:lvlJc w:val="start"/>
      <w:pPr>
        <w:tabs>
          <w:tab w:val="num" w:pos="2771"/>
        </w:tabs>
        <w:ind w:start="2771" w:hanging="360"/>
      </w:pPr>
      <w:rPr>
        <w:b/>
      </w:rPr>
    </w:lvl>
    <w:lvl w:ilvl="2">
      <w:start w:val="1"/>
      <w:numFmt w:val="bullet"/>
      <w:lvlText w:val=""/>
      <w:lvlJc w:val="start"/>
      <w:pPr>
        <w:tabs>
          <w:tab w:val="num" w:pos="720"/>
        </w:tabs>
        <w:ind w:start="720" w:hanging="720"/>
      </w:pPr>
      <w:rPr>
        <w:rFonts w:ascii="Symbol" w:hAnsi="Symbol" w:cs="Symbol" w:hint="default"/>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russianLower"/>
      <w:lvlText w:val="%1)"/>
      <w:lvlJc w:val="start"/>
      <w:pPr>
        <w:tabs>
          <w:tab w:val="num" w:pos="0"/>
        </w:tabs>
        <w:ind w:start="1287" w:hanging="360"/>
      </w:pPr>
      <w:rPr>
        <w:color w:val="000000"/>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1208" w:hanging="360"/>
      </w:pPr>
      <w:rPr/>
    </w:lvl>
    <w:lvl w:ilvl="1">
      <w:start w:val="1"/>
      <w:numFmt w:val="lowerLetter"/>
      <w:lvlText w:val="%2."/>
      <w:lvlJc w:val="start"/>
      <w:pPr>
        <w:tabs>
          <w:tab w:val="num" w:pos="0"/>
        </w:tabs>
        <w:ind w:start="1928" w:hanging="360"/>
      </w:pPr>
      <w:rPr/>
    </w:lvl>
    <w:lvl w:ilvl="2">
      <w:start w:val="1"/>
      <w:numFmt w:val="lowerRoman"/>
      <w:lvlText w:val="%3."/>
      <w:lvlJc w:val="end"/>
      <w:pPr>
        <w:tabs>
          <w:tab w:val="num" w:pos="0"/>
        </w:tabs>
        <w:ind w:start="2648" w:hanging="180"/>
      </w:pPr>
      <w:rPr/>
    </w:lvl>
    <w:lvl w:ilvl="3">
      <w:start w:val="1"/>
      <w:numFmt w:val="decimal"/>
      <w:lvlText w:val="%4."/>
      <w:lvlJc w:val="start"/>
      <w:pPr>
        <w:tabs>
          <w:tab w:val="num" w:pos="0"/>
        </w:tabs>
        <w:ind w:start="3368" w:hanging="360"/>
      </w:pPr>
      <w:rPr/>
    </w:lvl>
    <w:lvl w:ilvl="4">
      <w:start w:val="1"/>
      <w:numFmt w:val="lowerLetter"/>
      <w:lvlText w:val="%5."/>
      <w:lvlJc w:val="start"/>
      <w:pPr>
        <w:tabs>
          <w:tab w:val="num" w:pos="0"/>
        </w:tabs>
        <w:ind w:start="4088" w:hanging="360"/>
      </w:pPr>
      <w:rPr/>
    </w:lvl>
    <w:lvl w:ilvl="5">
      <w:start w:val="1"/>
      <w:numFmt w:val="lowerRoman"/>
      <w:lvlText w:val="%6."/>
      <w:lvlJc w:val="end"/>
      <w:pPr>
        <w:tabs>
          <w:tab w:val="num" w:pos="0"/>
        </w:tabs>
        <w:ind w:start="4808" w:hanging="180"/>
      </w:pPr>
      <w:rPr/>
    </w:lvl>
    <w:lvl w:ilvl="6">
      <w:start w:val="1"/>
      <w:numFmt w:val="decimal"/>
      <w:lvlText w:val="%7."/>
      <w:lvlJc w:val="start"/>
      <w:pPr>
        <w:tabs>
          <w:tab w:val="num" w:pos="0"/>
        </w:tabs>
        <w:ind w:start="5528" w:hanging="360"/>
      </w:pPr>
      <w:rPr/>
    </w:lvl>
    <w:lvl w:ilvl="7">
      <w:start w:val="1"/>
      <w:numFmt w:val="lowerLetter"/>
      <w:lvlText w:val="%8."/>
      <w:lvlJc w:val="start"/>
      <w:pPr>
        <w:tabs>
          <w:tab w:val="num" w:pos="0"/>
        </w:tabs>
        <w:ind w:start="6248" w:hanging="360"/>
      </w:pPr>
      <w:rPr/>
    </w:lvl>
    <w:lvl w:ilvl="8">
      <w:start w:val="1"/>
      <w:numFmt w:val="lowerRoman"/>
      <w:lvlText w:val="%9."/>
      <w:lvlJc w:val="end"/>
      <w:pPr>
        <w:tabs>
          <w:tab w:val="num" w:pos="0"/>
        </w:tabs>
        <w:ind w:start="6968" w:hanging="180"/>
      </w:pPr>
      <w:rPr/>
    </w:lvl>
  </w:abstractNum>
  <w:abstractNum w:abstractNumId="8">
    <w:lvl w:ilvl="0">
      <w:numFmt w:val="bullet"/>
      <w:lvlText w:val="•"/>
      <w:lvlJc w:val="start"/>
      <w:pPr>
        <w:tabs>
          <w:tab w:val="num" w:pos="0"/>
        </w:tabs>
        <w:ind w:start="1368" w:hanging="1008"/>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Jc w:val="start"/>
      <w:pPr>
        <w:tabs>
          <w:tab w:val="num" w:pos="0"/>
        </w:tabs>
        <w:ind w:start="1724" w:hanging="360"/>
      </w:pPr>
      <w:rPr>
        <w:rFonts w:ascii="Symbol" w:hAnsi="Symbol" w:cs="Symbol" w:hint="default"/>
      </w:rPr>
    </w:lvl>
    <w:lvl w:ilvl="1">
      <w:start w:val="1"/>
      <w:numFmt w:val="bullet"/>
      <w:lvlText w:val="o"/>
      <w:lvlJc w:val="start"/>
      <w:pPr>
        <w:tabs>
          <w:tab w:val="num" w:pos="0"/>
        </w:tabs>
        <w:ind w:start="2444" w:hanging="360"/>
      </w:pPr>
      <w:rPr>
        <w:rFonts w:ascii="Courier New" w:hAnsi="Courier New" w:cs="Courier New" w:hint="default"/>
      </w:rPr>
    </w:lvl>
    <w:lvl w:ilvl="2">
      <w:start w:val="1"/>
      <w:numFmt w:val="bullet"/>
      <w:lvlText w:val=""/>
      <w:lvlJc w:val="start"/>
      <w:pPr>
        <w:tabs>
          <w:tab w:val="num" w:pos="0"/>
        </w:tabs>
        <w:ind w:start="3164" w:hanging="360"/>
      </w:pPr>
      <w:rPr>
        <w:rFonts w:ascii="Wingdings" w:hAnsi="Wingdings" w:cs="Wingdings" w:hint="default"/>
      </w:rPr>
    </w:lvl>
    <w:lvl w:ilvl="3">
      <w:start w:val="1"/>
      <w:numFmt w:val="bullet"/>
      <w:lvlText w:val=""/>
      <w:lvlJc w:val="start"/>
      <w:pPr>
        <w:tabs>
          <w:tab w:val="num" w:pos="0"/>
        </w:tabs>
        <w:ind w:start="3884" w:hanging="360"/>
      </w:pPr>
      <w:rPr>
        <w:rFonts w:ascii="Symbol" w:hAnsi="Symbol" w:cs="Symbol" w:hint="default"/>
      </w:rPr>
    </w:lvl>
    <w:lvl w:ilvl="4">
      <w:start w:val="1"/>
      <w:numFmt w:val="bullet"/>
      <w:lvlText w:val="o"/>
      <w:lvlJc w:val="start"/>
      <w:pPr>
        <w:tabs>
          <w:tab w:val="num" w:pos="0"/>
        </w:tabs>
        <w:ind w:start="4604" w:hanging="360"/>
      </w:pPr>
      <w:rPr>
        <w:rFonts w:ascii="Courier New" w:hAnsi="Courier New" w:cs="Courier New" w:hint="default"/>
      </w:rPr>
    </w:lvl>
    <w:lvl w:ilvl="5">
      <w:start w:val="1"/>
      <w:numFmt w:val="bullet"/>
      <w:lvlText w:val=""/>
      <w:lvlJc w:val="start"/>
      <w:pPr>
        <w:tabs>
          <w:tab w:val="num" w:pos="0"/>
        </w:tabs>
        <w:ind w:start="5324" w:hanging="360"/>
      </w:pPr>
      <w:rPr>
        <w:rFonts w:ascii="Wingdings" w:hAnsi="Wingdings" w:cs="Wingdings" w:hint="default"/>
      </w:rPr>
    </w:lvl>
    <w:lvl w:ilvl="6">
      <w:start w:val="1"/>
      <w:numFmt w:val="bullet"/>
      <w:lvlText w:val=""/>
      <w:lvlJc w:val="start"/>
      <w:pPr>
        <w:tabs>
          <w:tab w:val="num" w:pos="0"/>
        </w:tabs>
        <w:ind w:start="6044" w:hanging="360"/>
      </w:pPr>
      <w:rPr>
        <w:rFonts w:ascii="Symbol" w:hAnsi="Symbol" w:cs="Symbol" w:hint="default"/>
      </w:rPr>
    </w:lvl>
    <w:lvl w:ilvl="7">
      <w:start w:val="1"/>
      <w:numFmt w:val="bullet"/>
      <w:lvlText w:val="o"/>
      <w:lvlJc w:val="start"/>
      <w:pPr>
        <w:tabs>
          <w:tab w:val="num" w:pos="0"/>
        </w:tabs>
        <w:ind w:start="6764" w:hanging="360"/>
      </w:pPr>
      <w:rPr>
        <w:rFonts w:ascii="Courier New" w:hAnsi="Courier New" w:cs="Courier New" w:hint="default"/>
      </w:rPr>
    </w:lvl>
    <w:lvl w:ilvl="8">
      <w:start w:val="1"/>
      <w:numFmt w:val="bullet"/>
      <w:lvlText w:val=""/>
      <w:lvlJc w:val="start"/>
      <w:pPr>
        <w:tabs>
          <w:tab w:val="num" w:pos="0"/>
        </w:tabs>
        <w:ind w:start="7484" w:hanging="360"/>
      </w:pPr>
      <w:rPr>
        <w:rFonts w:ascii="Wingdings" w:hAnsi="Wingdings" w:cs="Wingdings" w:hint="default"/>
      </w:rPr>
    </w:lvl>
  </w:abstractNum>
  <w:abstractNum w:abstractNumId="10">
    <w:lvl w:ilvl="0">
      <w:start w:val="1"/>
      <w:numFmt w:val="decimal"/>
      <w:lvlText w:val="%1."/>
      <w:lvlJc w:val="start"/>
      <w:pPr>
        <w:tabs>
          <w:tab w:val="num" w:pos="0"/>
        </w:tabs>
        <w:ind w:start="786"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540" w:hanging="360"/>
      </w:pPr>
      <w:rPr>
        <w:sz w:val="24"/>
        <w:i w:val="false"/>
        <w:b w:val="false"/>
      </w:rPr>
    </w:lvl>
    <w:lvl w:ilvl="1">
      <w:start w:val="1"/>
      <w:numFmt w:val="bullet"/>
      <w:lvlText w:val="-"/>
      <w:lvlJc w:val="start"/>
      <w:pPr>
        <w:tabs>
          <w:tab w:val="num" w:pos="1457"/>
        </w:tabs>
        <w:ind w:start="1440" w:hanging="360"/>
      </w:pPr>
      <w:rPr>
        <w:rFonts w:ascii="Arial (WT)" w:hAnsi="Arial (WT)" w:cs="Arial (WT)" w:hint="default"/>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bullet"/>
      <w:lvlText w:val=""/>
      <w:lvlJc w:val="start"/>
      <w:pPr>
        <w:tabs>
          <w:tab w:val="num" w:pos="3600"/>
        </w:tabs>
        <w:ind w:start="3600" w:hanging="360"/>
      </w:pPr>
      <w:rPr>
        <w:rFonts w:ascii="Symbol" w:hAnsi="Symbol" w:cs="Symbol" w:hint="default"/>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2">
    <w:lvl w:ilvl="0">
      <w:start w:val="1"/>
      <w:numFmt w:val="decimal"/>
      <w:lvlText w:val="%1)"/>
      <w:lvlJc w:val="start"/>
      <w:pPr>
        <w:tabs>
          <w:tab w:val="num" w:pos="0"/>
        </w:tabs>
        <w:ind w:start="720" w:hanging="360"/>
      </w:pPr>
      <w:rPr>
        <w:sz w:val="22"/>
        <w:i w:val="false"/>
        <w:b w:val="false"/>
        <w:color w:val="000000"/>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20"/>
  <w:autoHyphenation w:val="true"/>
  <w:hyphenationZone w:val="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Tahoma" w:cs="Noto Sans"/>
        <w:color w:val="000000"/>
        <w:sz w:val="24"/>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start="0" w:end="0"/>
      <w:jc w:val="both"/>
    </w:pPr>
    <w:rPr>
      <w:rFonts w:ascii="XO Thames" w:hAnsi="XO Thames" w:eastAsia="Tahoma" w:cs="Noto Sans"/>
      <w:color w:val="000000"/>
      <w:spacing w:val="0"/>
      <w:kern w:val="0"/>
      <w:sz w:val="28"/>
      <w:szCs w:val="20"/>
      <w:lang w:val="ru-RU" w:eastAsia="zh-CN" w:bidi="hi-IN"/>
    </w:rPr>
  </w:style>
  <w:style w:type="paragraph" w:styleId="Heading1">
    <w:name w:val="heading 1"/>
    <w:next w:val="Normal"/>
    <w:uiPriority w:val="9"/>
    <w:qFormat/>
    <w:pPr>
      <w:widowControl/>
      <w:bidi w:val="0"/>
      <w:spacing w:lineRule="auto" w:line="240" w:before="120" w:after="120"/>
      <w:ind w:hanging="0" w:start="0" w:end="0"/>
      <w:jc w:val="both"/>
      <w:outlineLvl w:val="0"/>
    </w:pPr>
    <w:rPr>
      <w:rFonts w:ascii="XO Thames" w:hAnsi="XO Thames" w:eastAsia="Tahoma" w:cs="Noto Sans"/>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40" w:before="120" w:after="120"/>
      <w:ind w:hanging="0" w:start="0" w:end="0"/>
      <w:jc w:val="both"/>
      <w:outlineLvl w:val="1"/>
    </w:pPr>
    <w:rPr>
      <w:rFonts w:ascii="XO Thames" w:hAnsi="XO Thames" w:eastAsia="Tahoma" w:cs="Noto Sans"/>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120" w:after="120"/>
      <w:ind w:hanging="0" w:start="0" w:end="0"/>
      <w:jc w:val="both"/>
      <w:outlineLvl w:val="2"/>
    </w:pPr>
    <w:rPr>
      <w:rFonts w:ascii="XO Thames" w:hAnsi="XO Thames" w:eastAsia="Tahoma" w:cs="Noto San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start="0" w:end="0"/>
      <w:jc w:val="both"/>
      <w:outlineLvl w:val="3"/>
    </w:pPr>
    <w:rPr>
      <w:rFonts w:ascii="XO Thames" w:hAnsi="XO Thames" w:eastAsia="Tahoma" w:cs="Noto 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start="0" w:end="0"/>
      <w:jc w:val="both"/>
      <w:outlineLvl w:val="4"/>
    </w:pPr>
    <w:rPr>
      <w:rFonts w:ascii="XO Thames" w:hAnsi="XO Thames" w:eastAsia="Tahoma" w:cs="Noto Sans"/>
      <w:b/>
      <w:color w:val="000000"/>
      <w:spacing w:val="0"/>
      <w:kern w:val="0"/>
      <w:sz w:val="22"/>
      <w:szCs w:val="20"/>
      <w:lang w:val="ru-RU" w:eastAsia="zh-CN" w:bidi="hi-IN"/>
    </w:rPr>
  </w:style>
  <w:style w:type="character" w:styleId="Style9">
    <w:name w:val="Ссылка указателя"/>
    <w:link w:val="13"/>
    <w:qFormat/>
    <w:rPr/>
  </w:style>
  <w:style w:type="character" w:styleId="Contents2">
    <w:name w:val="Contents 2"/>
    <w:qFormat/>
    <w:rPr>
      <w:rFonts w:ascii="XO Thames" w:hAnsi="XO Thames"/>
      <w:color w:val="000000"/>
      <w:spacing w:val="0"/>
      <w:sz w:val="28"/>
    </w:rPr>
  </w:style>
  <w:style w:type="character" w:styleId="Contents7">
    <w:name w:val="Contents 7"/>
    <w:link w:val="Contents72"/>
    <w:qFormat/>
    <w:rPr>
      <w:rFonts w:ascii="XO Thames" w:hAnsi="XO Thames"/>
      <w:sz w:val="28"/>
    </w:rPr>
  </w:style>
  <w:style w:type="character" w:styleId="Contents4">
    <w:name w:val="Contents 4"/>
    <w:qFormat/>
    <w:rPr>
      <w:rFonts w:ascii="XO Thames" w:hAnsi="XO Thames"/>
      <w:color w:val="000000"/>
      <w:spacing w:val="0"/>
      <w:sz w:val="28"/>
    </w:rPr>
  </w:style>
  <w:style w:type="character" w:styleId="Contents6">
    <w:name w:val="Contents 6"/>
    <w:qFormat/>
    <w:rPr>
      <w:rFonts w:ascii="XO Thames" w:hAnsi="XO Thames"/>
      <w:color w:val="000000"/>
      <w:spacing w:val="0"/>
      <w:sz w:val="28"/>
    </w:rPr>
  </w:style>
  <w:style w:type="character" w:styleId="Heading31">
    <w:name w:val="Heading 31"/>
    <w:link w:val="Heading311"/>
    <w:qFormat/>
    <w:rPr>
      <w:rFonts w:ascii="XO Thames" w:hAnsi="XO Thames"/>
      <w:b/>
      <w:sz w:val="26"/>
    </w:rPr>
  </w:style>
  <w:style w:type="character" w:styleId="Title1">
    <w:name w:val="Title1"/>
    <w:link w:val="Title11"/>
    <w:qFormat/>
    <w:rPr>
      <w:rFonts w:ascii="XO Thames" w:hAnsi="XO Thames"/>
      <w:b/>
      <w:caps/>
      <w:sz w:val="40"/>
    </w:rPr>
  </w:style>
  <w:style w:type="character" w:styleId="Contents71">
    <w:name w:val="Contents 71"/>
    <w:qFormat/>
    <w:rPr>
      <w:rFonts w:ascii="XO Thames" w:hAnsi="XO Thames"/>
      <w:color w:val="000000"/>
      <w:spacing w:val="0"/>
      <w:sz w:val="28"/>
    </w:rPr>
  </w:style>
  <w:style w:type="character" w:styleId="Contents9">
    <w:name w:val="Contents 9"/>
    <w:link w:val="Contents92"/>
    <w:qFormat/>
    <w:rPr>
      <w:rFonts w:ascii="XO Thames" w:hAnsi="XO Thames"/>
      <w:sz w:val="28"/>
    </w:rPr>
  </w:style>
  <w:style w:type="character" w:styleId="NormalWeb">
    <w:name w:val="Normal (Web)"/>
    <w:link w:val="NormalWeb1"/>
    <w:qFormat/>
    <w:rPr/>
  </w:style>
  <w:style w:type="character" w:styleId="Caption1">
    <w:name w:val="Caption1"/>
    <w:qFormat/>
    <w:rPr>
      <w:i/>
      <w:sz w:val="24"/>
    </w:rPr>
  </w:style>
  <w:style w:type="character" w:styleId="FollowedHyperlink">
    <w:name w:val="FollowedHyperlink"/>
    <w:rPr>
      <w:color w:val="800080"/>
      <w:u w:val="single"/>
    </w:rPr>
  </w:style>
  <w:style w:type="character" w:styleId="Endnote">
    <w:name w:val="Endnote"/>
    <w:link w:val="Endnote2"/>
    <w:qFormat/>
    <w:rPr>
      <w:rFonts w:ascii="XO Thames" w:hAnsi="XO Thames"/>
      <w:sz w:val="22"/>
    </w:rPr>
  </w:style>
  <w:style w:type="character" w:styleId="Heading32">
    <w:name w:val="Heading 32"/>
    <w:qFormat/>
    <w:rPr>
      <w:rFonts w:ascii="XO Thames" w:hAnsi="XO Thames"/>
      <w:b/>
      <w:color w:val="000000"/>
      <w:spacing w:val="0"/>
      <w:sz w:val="26"/>
    </w:rPr>
  </w:style>
  <w:style w:type="character" w:styleId="Heading51">
    <w:name w:val="Heading 51"/>
    <w:link w:val="Heading511"/>
    <w:qFormat/>
    <w:rPr>
      <w:rFonts w:ascii="XO Thames" w:hAnsi="XO Thames"/>
      <w:b/>
      <w:sz w:val="22"/>
    </w:rPr>
  </w:style>
  <w:style w:type="character" w:styleId="Style10">
    <w:name w:val="Указатель"/>
    <w:link w:val="12"/>
    <w:qFormat/>
    <w:rPr/>
  </w:style>
  <w:style w:type="character" w:styleId="rvps9">
    <w:name w:val="rvps9"/>
    <w:link w:val="rvps91"/>
    <w:qFormat/>
    <w:rPr/>
  </w:style>
  <w:style w:type="character" w:styleId="Style11">
    <w:name w:val="Символ сноски"/>
    <w:link w:val="14"/>
    <w:qFormat/>
    <w:rPr>
      <w:vertAlign w:val="superscript"/>
    </w:rPr>
  </w:style>
  <w:style w:type="character" w:styleId="Style12">
    <w:name w:val="Заголовок"/>
    <w:link w:val="1"/>
    <w:qFormat/>
    <w:rPr>
      <w:rFonts w:ascii="Liberation Sans" w:hAnsi="Liberation Sans"/>
      <w:sz w:val="28"/>
    </w:rPr>
  </w:style>
  <w:style w:type="character" w:styleId="Heading11">
    <w:name w:val="Heading 11"/>
    <w:link w:val="Heading111"/>
    <w:qFormat/>
    <w:rPr>
      <w:rFonts w:ascii="XO Thames" w:hAnsi="XO Thames"/>
      <w:b/>
      <w:sz w:val="32"/>
    </w:rPr>
  </w:style>
  <w:style w:type="character" w:styleId="Contents61">
    <w:name w:val="Contents 61"/>
    <w:link w:val="Contents62"/>
    <w:qFormat/>
    <w:rPr>
      <w:rFonts w:ascii="XO Thames" w:hAnsi="XO Thames"/>
      <w:sz w:val="28"/>
    </w:rPr>
  </w:style>
  <w:style w:type="character" w:styleId="Revision">
    <w:name w:val="Revision"/>
    <w:link w:val="Revision1"/>
    <w:qFormat/>
    <w:rPr>
      <w:rFonts w:ascii="Times New Roman" w:hAnsi="Times New Roman"/>
      <w:color w:val="000000"/>
      <w:spacing w:val="0"/>
      <w:sz w:val="24"/>
    </w:rPr>
  </w:style>
  <w:style w:type="character" w:styleId="ListParagraph">
    <w:name w:val="List Paragraph"/>
    <w:link w:val="ListParagraph1"/>
    <w:qFormat/>
    <w:rPr/>
  </w:style>
  <w:style w:type="character" w:styleId="Contents8">
    <w:name w:val="Contents 8"/>
    <w:link w:val="Contents82"/>
    <w:qFormat/>
    <w:rPr>
      <w:rFonts w:ascii="XO Thames" w:hAnsi="XO Thames"/>
      <w:sz w:val="28"/>
    </w:rPr>
  </w:style>
  <w:style w:type="character" w:styleId="Contents3">
    <w:name w:val="Contents 3"/>
    <w:qFormat/>
    <w:rPr>
      <w:rFonts w:ascii="XO Thames" w:hAnsi="XO Thames"/>
      <w:color w:val="000000"/>
      <w:spacing w:val="0"/>
      <w:sz w:val="28"/>
    </w:rPr>
  </w:style>
  <w:style w:type="character" w:styleId="Header1">
    <w:name w:val="Header1"/>
    <w:qFormat/>
    <w:rPr/>
  </w:style>
  <w:style w:type="character" w:styleId="rvps1">
    <w:name w:val="rvps1"/>
    <w:link w:val="rvps11"/>
    <w:qFormat/>
    <w:rPr/>
  </w:style>
  <w:style w:type="character" w:styleId="user">
    <w:name w:val="Ссылка указателя (user)"/>
    <w:qFormat/>
    <w:rPr/>
  </w:style>
  <w:style w:type="character" w:styleId="Contents31">
    <w:name w:val="Contents 31"/>
    <w:link w:val="Contents32"/>
    <w:qFormat/>
    <w:rPr>
      <w:rFonts w:ascii="XO Thames" w:hAnsi="XO Thames"/>
      <w:sz w:val="28"/>
    </w:rPr>
  </w:style>
  <w:style w:type="character" w:styleId="Internetlink">
    <w:name w:val="Internet link"/>
    <w:link w:val="Internetlink1"/>
    <w:qFormat/>
    <w:rPr>
      <w:rFonts w:ascii="XO Thames" w:hAnsi="XO Thames"/>
      <w:color w:val="0000FF"/>
      <w:spacing w:val="0"/>
      <w:sz w:val="24"/>
      <w:u w:val="single"/>
    </w:rPr>
  </w:style>
  <w:style w:type="character" w:styleId="user1">
    <w:name w:val="Символ сноски (user)"/>
    <w:qFormat/>
    <w:rPr>
      <w:vertAlign w:val="superscript"/>
    </w:rPr>
  </w:style>
  <w:style w:type="character" w:styleId="Heading41">
    <w:name w:val="Heading 41"/>
    <w:link w:val="Heading411"/>
    <w:qFormat/>
    <w:rPr>
      <w:rFonts w:ascii="XO Thames" w:hAnsi="XO Thames"/>
      <w:b/>
      <w:sz w:val="24"/>
    </w:rPr>
  </w:style>
  <w:style w:type="character" w:styleId="Style13">
    <w:name w:val="Колонтитулы"/>
    <w:link w:val="15"/>
    <w:qFormat/>
    <w:rPr/>
  </w:style>
  <w:style w:type="character" w:styleId="Heading52">
    <w:name w:val="Heading 52"/>
    <w:qFormat/>
    <w:rPr>
      <w:rFonts w:ascii="XO Thames" w:hAnsi="XO Thames"/>
      <w:b/>
      <w:color w:val="000000"/>
      <w:spacing w:val="0"/>
      <w:sz w:val="22"/>
    </w:rPr>
  </w:style>
  <w:style w:type="character" w:styleId="List1">
    <w:name w:val="List1"/>
    <w:basedOn w:val="Textbody"/>
    <w:qFormat/>
    <w:rPr/>
  </w:style>
  <w:style w:type="character" w:styleId="Heading12">
    <w:name w:val="Heading 12"/>
    <w:qFormat/>
    <w:rPr>
      <w:rFonts w:ascii="XO Thames" w:hAnsi="XO Thames"/>
      <w:b/>
      <w:color w:val="000000"/>
      <w:spacing w:val="0"/>
      <w:sz w:val="32"/>
    </w:rPr>
  </w:style>
  <w:style w:type="character" w:styleId="user2">
    <w:name w:val="Символ концевой сноски (user)"/>
    <w:qFormat/>
    <w:rPr/>
  </w:style>
  <w:style w:type="character" w:styleId="Footnote1">
    <w:name w:val="Footnote1"/>
    <w:link w:val="Footnote11"/>
    <w:qFormat/>
    <w:rPr>
      <w:rFonts w:ascii="XO Thames" w:hAnsi="XO Thames"/>
      <w:color w:val="000000"/>
      <w:spacing w:val="0"/>
      <w:sz w:val="22"/>
    </w:rPr>
  </w:style>
  <w:style w:type="character" w:styleId="Default">
    <w:name w:val="Default"/>
    <w:link w:val="Default1"/>
    <w:qFormat/>
    <w:rPr>
      <w:rFonts w:ascii="Times New Roman" w:hAnsi="Times New Roman"/>
      <w:color w:val="000000"/>
      <w:spacing w:val="0"/>
      <w:sz w:val="24"/>
    </w:rPr>
  </w:style>
  <w:style w:type="character" w:styleId="Hyperlink">
    <w:name w:val="Hyperlink"/>
    <w:rPr>
      <w:color w:val="0000FF"/>
      <w:u w:val="single"/>
    </w:rPr>
  </w:style>
  <w:style w:type="character" w:styleId="Footnote">
    <w:name w:val="Footnote"/>
    <w:link w:val="Footnote2"/>
    <w:qFormat/>
    <w:rPr>
      <w:sz w:val="20"/>
    </w:rPr>
  </w:style>
  <w:style w:type="character" w:styleId="Textbody">
    <w:name w:val="Text body"/>
    <w:qFormat/>
    <w:rPr/>
  </w:style>
  <w:style w:type="character" w:styleId="Subtitle1">
    <w:name w:val="Subtitle1"/>
    <w:link w:val="Subtitle11"/>
    <w:qFormat/>
    <w:rPr>
      <w:rFonts w:ascii="XO Thames" w:hAnsi="XO Thames"/>
      <w:i/>
      <w:sz w:val="24"/>
    </w:rPr>
  </w:style>
  <w:style w:type="character" w:styleId="Contents1">
    <w:name w:val="Contents 1"/>
    <w:qFormat/>
    <w:rPr>
      <w:rFonts w:ascii="XO Thames" w:hAnsi="XO Thames"/>
      <w:b/>
      <w:color w:val="000000"/>
      <w:spacing w:val="0"/>
      <w:sz w:val="28"/>
    </w:rPr>
  </w:style>
  <w:style w:type="character" w:styleId="HeaderandFooter">
    <w:name w:val="Header and Footer"/>
    <w:qFormat/>
    <w:rPr>
      <w:rFonts w:ascii="XO Thames" w:hAnsi="XO Thames"/>
      <w:sz w:val="28"/>
    </w:rPr>
  </w:style>
  <w:style w:type="character" w:styleId="Contents91">
    <w:name w:val="Contents 91"/>
    <w:qFormat/>
    <w:rPr>
      <w:rFonts w:ascii="XO Thames" w:hAnsi="XO Thames"/>
      <w:color w:val="000000"/>
      <w:spacing w:val="0"/>
      <w:sz w:val="28"/>
    </w:rPr>
  </w:style>
  <w:style w:type="character" w:styleId="Heading21">
    <w:name w:val="Heading 21"/>
    <w:link w:val="Heading211"/>
    <w:qFormat/>
    <w:rPr>
      <w:rFonts w:ascii="XO Thames" w:hAnsi="XO Thames"/>
      <w:b/>
      <w:sz w:val="28"/>
    </w:rPr>
  </w:style>
  <w:style w:type="character" w:styleId="Style14">
    <w:name w:val="Символ концевой сноски"/>
    <w:link w:val="16"/>
    <w:qFormat/>
    <w:rPr>
      <w:vertAlign w:val="superscript"/>
    </w:rPr>
  </w:style>
  <w:style w:type="character" w:styleId="EndnoteReference">
    <w:name w:val="endnote reference"/>
    <w:rPr>
      <w:vertAlign w:val="superscript"/>
    </w:rPr>
  </w:style>
  <w:style w:type="character" w:styleId="Marginalia">
    <w:name w:val="Marginalia"/>
    <w:qFormat/>
    <w:rPr>
      <w:sz w:val="20"/>
    </w:rPr>
  </w:style>
  <w:style w:type="character" w:styleId="Contents81">
    <w:name w:val="Contents 81"/>
    <w:qFormat/>
    <w:rPr>
      <w:rFonts w:ascii="XO Thames" w:hAnsi="XO Thames"/>
      <w:color w:val="000000"/>
      <w:spacing w:val="0"/>
      <w:sz w:val="28"/>
    </w:rPr>
  </w:style>
  <w:style w:type="character" w:styleId="FootnoteReference">
    <w:name w:val="footnote reference"/>
    <w:rPr>
      <w:vertAlign w:val="superscript"/>
    </w:rPr>
  </w:style>
  <w:style w:type="character" w:styleId="Contents5">
    <w:name w:val="Contents 5"/>
    <w:link w:val="Contents52"/>
    <w:qFormat/>
    <w:rPr>
      <w:rFonts w:ascii="XO Thames" w:hAnsi="XO Thames"/>
      <w:sz w:val="28"/>
    </w:rPr>
  </w:style>
  <w:style w:type="character" w:styleId="Times12">
    <w:name w:val="Times 12"/>
    <w:link w:val="Times121"/>
    <w:qFormat/>
    <w:rPr/>
  </w:style>
  <w:style w:type="character" w:styleId="11">
    <w:name w:val="заголовок 11"/>
    <w:link w:val="111"/>
    <w:qFormat/>
    <w:rPr/>
  </w:style>
  <w:style w:type="character" w:styleId="Endnote1">
    <w:name w:val="Endnote1"/>
    <w:link w:val="Endnote11"/>
    <w:qFormat/>
    <w:rPr>
      <w:rFonts w:ascii="XO Thames" w:hAnsi="XO Thames"/>
      <w:color w:val="000000"/>
      <w:spacing w:val="0"/>
      <w:sz w:val="22"/>
    </w:rPr>
  </w:style>
  <w:style w:type="character" w:styleId="Contents51">
    <w:name w:val="Contents 51"/>
    <w:qFormat/>
    <w:rPr>
      <w:rFonts w:ascii="XO Thames" w:hAnsi="XO Thames"/>
      <w:color w:val="000000"/>
      <w:spacing w:val="0"/>
      <w:sz w:val="28"/>
    </w:rPr>
  </w:style>
  <w:style w:type="character" w:styleId="Contents41">
    <w:name w:val="Contents 41"/>
    <w:link w:val="Contents42"/>
    <w:qFormat/>
    <w:rPr>
      <w:rFonts w:ascii="XO Thames" w:hAnsi="XO Thames"/>
      <w:sz w:val="28"/>
    </w:rPr>
  </w:style>
  <w:style w:type="character" w:styleId="Contents11">
    <w:name w:val="Contents 11"/>
    <w:link w:val="Contents12"/>
    <w:qFormat/>
    <w:rPr>
      <w:rFonts w:ascii="XO Thames" w:hAnsi="XO Thames"/>
      <w:b/>
      <w:sz w:val="28"/>
    </w:rPr>
  </w:style>
  <w:style w:type="character" w:styleId="Subtitle2">
    <w:name w:val="Subtitle2"/>
    <w:qFormat/>
    <w:rPr>
      <w:rFonts w:ascii="XO Thames" w:hAnsi="XO Thames"/>
      <w:i/>
      <w:color w:val="000000"/>
      <w:spacing w:val="0"/>
      <w:sz w:val="24"/>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Contents21">
    <w:name w:val="Contents 21"/>
    <w:link w:val="Contents22"/>
    <w:qFormat/>
    <w:rPr>
      <w:rFonts w:ascii="XO Thames" w:hAnsi="XO Thames"/>
      <w:sz w:val="28"/>
    </w:rPr>
  </w:style>
  <w:style w:type="character" w:styleId="Heading22">
    <w:name w:val="Heading 22"/>
    <w:qFormat/>
    <w:rPr>
      <w:rFonts w:ascii="XO Thames" w:hAnsi="XO Thames"/>
      <w:b/>
      <w:color w:val="000000"/>
      <w:spacing w:val="0"/>
      <w:sz w:val="28"/>
    </w:rPr>
  </w:style>
  <w:style w:type="paragraph" w:styleId="1">
    <w:name w:val="Заголовок1"/>
    <w:basedOn w:val="Normal"/>
    <w:next w:val="BodyText"/>
    <w:link w:val="Style12"/>
    <w:qFormat/>
    <w:pPr>
      <w:keepNext w:val="true"/>
      <w:widowControl/>
      <w:spacing w:before="240" w:after="120"/>
    </w:pPr>
    <w:rPr>
      <w:rFonts w:ascii="Liberation Sans" w:hAnsi="Liberation Sans"/>
      <w:sz w:val="28"/>
    </w:rPr>
  </w:style>
  <w:style w:type="paragraph" w:styleId="BodyText">
    <w:name w:val="Body Text"/>
    <w:basedOn w:val="Normal"/>
    <w:pPr>
      <w:widowControl/>
      <w:spacing w:lineRule="auto" w:line="276" w:before="0" w:after="140"/>
    </w:pPr>
    <w:rPr/>
  </w:style>
  <w:style w:type="paragraph" w:styleId="List">
    <w:name w:val="List"/>
    <w:basedOn w:val="BodyText"/>
    <w:pPr/>
    <w:rPr/>
  </w:style>
  <w:style w:type="paragraph" w:styleId="Caption">
    <w:name w:val="caption"/>
    <w:basedOn w:val="Normal"/>
    <w:qFormat/>
    <w:pPr>
      <w:widowControl/>
      <w:spacing w:before="120" w:after="120"/>
    </w:pPr>
    <w:rPr>
      <w:i/>
      <w:sz w:val="24"/>
    </w:rPr>
  </w:style>
  <w:style w:type="paragraph" w:styleId="12">
    <w:name w:val="Указатель1"/>
    <w:basedOn w:val="Normal"/>
    <w:link w:val="Style10"/>
    <w:qFormat/>
    <w:pPr/>
    <w:rPr/>
  </w:style>
  <w:style w:type="paragraph" w:styleId="13">
    <w:name w:val="Ссылка указателя1"/>
    <w:link w:val="Style9"/>
    <w:qFormat/>
    <w:pPr>
      <w:widowControl/>
      <w:bidi w:val="0"/>
      <w:spacing w:lineRule="auto" w:line="240" w:before="0" w:after="0"/>
      <w:ind w:hanging="0" w:start="0" w:end="0"/>
      <w:jc w:val="start"/>
    </w:pPr>
    <w:rPr>
      <w:rFonts w:ascii="XO Thames" w:hAnsi="XO Thames" w:eastAsia="Tahoma" w:cs="Noto Sans"/>
      <w:color w:val="000000"/>
      <w:spacing w:val="0"/>
      <w:kern w:val="0"/>
      <w:sz w:val="24"/>
      <w:szCs w:val="20"/>
      <w:lang w:val="ru-RU" w:eastAsia="zh-CN" w:bidi="hi-IN"/>
    </w:rPr>
  </w:style>
  <w:style w:type="paragraph" w:styleId="TOC2">
    <w:name w:val="toc 2"/>
    <w:next w:val="Normal"/>
    <w:uiPriority w:val="39"/>
    <w:pPr>
      <w:widowControl/>
      <w:bidi w:val="0"/>
      <w:spacing w:lineRule="auto" w:line="240" w:before="0" w:after="0"/>
      <w:ind w:hanging="0" w:start="200" w:end="0"/>
      <w:jc w:val="start"/>
    </w:pPr>
    <w:rPr>
      <w:rFonts w:ascii="XO Thames" w:hAnsi="XO Thames" w:eastAsia="Tahoma" w:cs="Noto Sans"/>
      <w:color w:val="000000"/>
      <w:spacing w:val="0"/>
      <w:kern w:val="0"/>
      <w:sz w:val="28"/>
      <w:szCs w:val="20"/>
      <w:lang w:val="ru-RU" w:eastAsia="zh-CN" w:bidi="hi-IN"/>
    </w:rPr>
  </w:style>
  <w:style w:type="paragraph" w:styleId="Contents72">
    <w:name w:val="Contents 72"/>
    <w:link w:val="Contents7"/>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TOC4">
    <w:name w:val="toc 4"/>
    <w:next w:val="Normal"/>
    <w:uiPriority w:val="39"/>
    <w:pPr>
      <w:widowControl/>
      <w:bidi w:val="0"/>
      <w:spacing w:lineRule="auto" w:line="240" w:before="0" w:after="0"/>
      <w:ind w:hanging="0" w:start="600" w:end="0"/>
      <w:jc w:val="start"/>
    </w:pPr>
    <w:rPr>
      <w:rFonts w:ascii="XO Thames" w:hAnsi="XO Thames" w:eastAsia="Tahoma" w:cs="Noto Sans"/>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start="1000" w:end="0"/>
      <w:jc w:val="start"/>
    </w:pPr>
    <w:rPr>
      <w:rFonts w:ascii="XO Thames" w:hAnsi="XO Thames" w:eastAsia="Tahoma" w:cs="Noto Sans"/>
      <w:color w:val="000000"/>
      <w:spacing w:val="0"/>
      <w:kern w:val="0"/>
      <w:sz w:val="28"/>
      <w:szCs w:val="20"/>
      <w:lang w:val="ru-RU" w:eastAsia="zh-CN" w:bidi="hi-IN"/>
    </w:rPr>
  </w:style>
  <w:style w:type="paragraph" w:styleId="Heading311">
    <w:name w:val="Heading 311"/>
    <w:link w:val="Heading31"/>
    <w:qFormat/>
    <w:pPr>
      <w:widowControl/>
      <w:bidi w:val="0"/>
      <w:spacing w:lineRule="auto" w:line="240" w:before="0" w:after="0"/>
      <w:ind w:hanging="0" w:start="0" w:end="0"/>
      <w:jc w:val="start"/>
    </w:pPr>
    <w:rPr>
      <w:rFonts w:ascii="XO Thames" w:hAnsi="XO Thames" w:eastAsia="Tahoma" w:cs="Noto Sans"/>
      <w:b/>
      <w:color w:val="000000"/>
      <w:spacing w:val="0"/>
      <w:kern w:val="0"/>
      <w:sz w:val="26"/>
      <w:szCs w:val="20"/>
      <w:lang w:val="ru-RU" w:eastAsia="zh-CN" w:bidi="hi-IN"/>
    </w:rPr>
  </w:style>
  <w:style w:type="paragraph" w:styleId="Title11">
    <w:name w:val="Title11"/>
    <w:link w:val="Title1"/>
    <w:qFormat/>
    <w:pPr>
      <w:widowControl/>
      <w:bidi w:val="0"/>
      <w:spacing w:lineRule="auto" w:line="240" w:before="0" w:after="0"/>
      <w:ind w:hanging="0" w:start="0" w:end="0"/>
      <w:jc w:val="start"/>
    </w:pPr>
    <w:rPr>
      <w:rFonts w:ascii="XO Thames" w:hAnsi="XO Thames" w:eastAsia="Tahoma" w:cs="Noto Sans"/>
      <w:b/>
      <w:caps/>
      <w:color w:val="000000"/>
      <w:spacing w:val="0"/>
      <w:kern w:val="0"/>
      <w:sz w:val="40"/>
      <w:szCs w:val="20"/>
      <w:lang w:val="ru-RU" w:eastAsia="zh-CN" w:bidi="hi-IN"/>
    </w:rPr>
  </w:style>
  <w:style w:type="paragraph" w:styleId="TOC7">
    <w:name w:val="toc 7"/>
    <w:next w:val="Normal"/>
    <w:uiPriority w:val="39"/>
    <w:pPr>
      <w:widowControl/>
      <w:bidi w:val="0"/>
      <w:spacing w:lineRule="auto" w:line="240" w:before="0" w:after="0"/>
      <w:ind w:hanging="0" w:start="1200" w:end="0"/>
      <w:jc w:val="start"/>
    </w:pPr>
    <w:rPr>
      <w:rFonts w:ascii="XO Thames" w:hAnsi="XO Thames" w:eastAsia="Tahoma" w:cs="Noto Sans"/>
      <w:color w:val="000000"/>
      <w:spacing w:val="0"/>
      <w:kern w:val="0"/>
      <w:sz w:val="28"/>
      <w:szCs w:val="20"/>
      <w:lang w:val="ru-RU" w:eastAsia="zh-CN" w:bidi="hi-IN"/>
    </w:rPr>
  </w:style>
  <w:style w:type="paragraph" w:styleId="Contents92">
    <w:name w:val="Contents 92"/>
    <w:link w:val="Contents9"/>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NormalWeb1">
    <w:name w:val="Normal (Web)1"/>
    <w:basedOn w:val="Normal"/>
    <w:link w:val="NormalWeb"/>
    <w:qFormat/>
    <w:pPr>
      <w:widowControl/>
      <w:spacing w:beforeAutospacing="1" w:afterAutospacing="1"/>
    </w:pPr>
    <w:rPr/>
  </w:style>
  <w:style w:type="paragraph" w:styleId="VisitedInternetLink">
    <w:name w:val="Visited Internet Link"/>
    <w:qFormat/>
    <w:pPr>
      <w:widowControl/>
      <w:bidi w:val="0"/>
      <w:spacing w:lineRule="auto" w:line="240" w:before="0" w:after="0"/>
      <w:ind w:hanging="0" w:start="0" w:end="0"/>
      <w:jc w:val="start"/>
    </w:pPr>
    <w:rPr>
      <w:rFonts w:ascii="XO Thames" w:hAnsi="XO Thames" w:eastAsia="Tahoma" w:cs="Noto Sans"/>
      <w:color w:val="800080"/>
      <w:spacing w:val="0"/>
      <w:kern w:val="0"/>
      <w:sz w:val="24"/>
      <w:szCs w:val="20"/>
      <w:u w:val="single"/>
      <w:lang w:val="ru-RU" w:eastAsia="zh-CN" w:bidi="hi-IN"/>
    </w:rPr>
  </w:style>
  <w:style w:type="paragraph" w:styleId="Endnote2">
    <w:name w:val="Endnote2"/>
    <w:link w:val="Endnote"/>
    <w:qFormat/>
    <w:pPr>
      <w:widowControl/>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Heading511">
    <w:name w:val="Heading 511"/>
    <w:link w:val="Heading51"/>
    <w:qFormat/>
    <w:pPr>
      <w:widowControl/>
      <w:bidi w:val="0"/>
      <w:spacing w:lineRule="auto" w:line="240" w:before="0" w:after="0"/>
      <w:ind w:hanging="0" w:start="0" w:end="0"/>
      <w:jc w:val="start"/>
    </w:pPr>
    <w:rPr>
      <w:rFonts w:ascii="XO Thames" w:hAnsi="XO Thames" w:eastAsia="Tahoma" w:cs="Noto Sans"/>
      <w:b/>
      <w:color w:val="000000"/>
      <w:spacing w:val="0"/>
      <w:kern w:val="0"/>
      <w:sz w:val="22"/>
      <w:szCs w:val="20"/>
      <w:lang w:val="ru-RU" w:eastAsia="zh-CN" w:bidi="hi-IN"/>
    </w:rPr>
  </w:style>
  <w:style w:type="paragraph" w:styleId="rvps91">
    <w:name w:val="rvps91"/>
    <w:basedOn w:val="Normal"/>
    <w:link w:val="rvps9"/>
    <w:qFormat/>
    <w:pPr>
      <w:widowControl/>
      <w:jc w:val="both"/>
    </w:pPr>
    <w:rPr/>
  </w:style>
  <w:style w:type="paragraph" w:styleId="14">
    <w:name w:val="Символ сноски1"/>
    <w:link w:val="Style11"/>
    <w:qFormat/>
    <w:pPr>
      <w:widowControl/>
      <w:bidi w:val="0"/>
      <w:spacing w:lineRule="auto" w:line="240" w:before="0" w:after="0"/>
      <w:ind w:hanging="0" w:start="0" w:end="0"/>
      <w:jc w:val="start"/>
    </w:pPr>
    <w:rPr>
      <w:rFonts w:ascii="XO Thames" w:hAnsi="XO Thames" w:eastAsia="Tahoma" w:cs="Noto Sans"/>
      <w:color w:val="000000"/>
      <w:spacing w:val="0"/>
      <w:kern w:val="0"/>
      <w:sz w:val="24"/>
      <w:szCs w:val="20"/>
      <w:vertAlign w:val="superscript"/>
      <w:lang w:val="ru-RU" w:eastAsia="zh-CN" w:bidi="hi-IN"/>
    </w:rPr>
  </w:style>
  <w:style w:type="paragraph" w:styleId="user3">
    <w:name w:val="Заголовок (user)"/>
    <w:basedOn w:val="Normal"/>
    <w:next w:val="BodyText"/>
    <w:qFormat/>
    <w:pPr>
      <w:keepNext w:val="true"/>
      <w:widowControl/>
      <w:spacing w:before="240" w:after="120"/>
    </w:pPr>
    <w:rPr>
      <w:rFonts w:ascii="Liberation Sans" w:hAnsi="Liberation Sans"/>
      <w:sz w:val="28"/>
    </w:rPr>
  </w:style>
  <w:style w:type="paragraph" w:styleId="Heading111">
    <w:name w:val="Heading 111"/>
    <w:link w:val="Heading11"/>
    <w:qFormat/>
    <w:pPr>
      <w:widowControl/>
      <w:bidi w:val="0"/>
      <w:spacing w:lineRule="auto" w:line="240" w:before="0" w:after="0"/>
      <w:ind w:hanging="0" w:start="0" w:end="0"/>
      <w:jc w:val="start"/>
    </w:pPr>
    <w:rPr>
      <w:rFonts w:ascii="XO Thames" w:hAnsi="XO Thames" w:eastAsia="Tahoma" w:cs="Noto Sans"/>
      <w:b/>
      <w:color w:val="000000"/>
      <w:spacing w:val="0"/>
      <w:kern w:val="0"/>
      <w:sz w:val="32"/>
      <w:szCs w:val="20"/>
      <w:lang w:val="ru-RU" w:eastAsia="zh-CN" w:bidi="hi-IN"/>
    </w:rPr>
  </w:style>
  <w:style w:type="paragraph" w:styleId="Contents62">
    <w:name w:val="Contents 62"/>
    <w:link w:val="Contents61"/>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Revision1">
    <w:name w:val="Revision1"/>
    <w:link w:val="Revision"/>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ListParagraph1">
    <w:name w:val="List Paragraph1"/>
    <w:basedOn w:val="Normal"/>
    <w:link w:val="ListParagraph"/>
    <w:qFormat/>
    <w:pPr>
      <w:widowControl/>
      <w:spacing w:before="0" w:after="0"/>
      <w:ind w:start="720"/>
      <w:contextualSpacing/>
    </w:pPr>
    <w:rPr/>
  </w:style>
  <w:style w:type="paragraph" w:styleId="Contents82">
    <w:name w:val="Contents 82"/>
    <w:link w:val="Contents8"/>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TOC3">
    <w:name w:val="toc 3"/>
    <w:next w:val="Normal"/>
    <w:uiPriority w:val="39"/>
    <w:pPr>
      <w:widowControl/>
      <w:bidi w:val="0"/>
      <w:spacing w:lineRule="auto" w:line="240" w:before="0" w:after="0"/>
      <w:ind w:hanging="0" w:start="400" w:end="0"/>
      <w:jc w:val="start"/>
    </w:pPr>
    <w:rPr>
      <w:rFonts w:ascii="XO Thames" w:hAnsi="XO Thames" w:eastAsia="Tahoma" w:cs="Noto Sans"/>
      <w:color w:val="000000"/>
      <w:spacing w:val="0"/>
      <w:kern w:val="0"/>
      <w:sz w:val="28"/>
      <w:szCs w:val="20"/>
      <w:lang w:val="ru-RU" w:eastAsia="zh-CN" w:bidi="hi-IN"/>
    </w:rPr>
  </w:style>
  <w:style w:type="paragraph" w:styleId="15">
    <w:name w:val="Колонтитулы1"/>
    <w:link w:val="Style13"/>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Header">
    <w:name w:val="header"/>
    <w:basedOn w:val="Normal"/>
    <w:pPr>
      <w:widowControl/>
      <w:tabs>
        <w:tab w:val="clear" w:pos="720"/>
        <w:tab w:val="center" w:pos="4677" w:leader="none"/>
        <w:tab w:val="right" w:pos="9355" w:leader="none"/>
      </w:tabs>
    </w:pPr>
    <w:rPr/>
  </w:style>
  <w:style w:type="paragraph" w:styleId="rvps11">
    <w:name w:val="rvps11"/>
    <w:basedOn w:val="Normal"/>
    <w:link w:val="rvps1"/>
    <w:qFormat/>
    <w:pPr>
      <w:widowControl/>
      <w:jc w:val="center"/>
    </w:pPr>
    <w:rPr/>
  </w:style>
  <w:style w:type="paragraph" w:styleId="Contents32">
    <w:name w:val="Contents 32"/>
    <w:link w:val="Contents31"/>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Internetlink1">
    <w:name w:val="Internet link1"/>
    <w:link w:val="Internetlink"/>
    <w:qFormat/>
    <w:pPr>
      <w:widowControl/>
      <w:bidi w:val="0"/>
      <w:spacing w:lineRule="auto" w:line="240" w:before="0" w:after="0"/>
      <w:ind w:hanging="0" w:start="0" w:end="0"/>
      <w:jc w:val="start"/>
    </w:pPr>
    <w:rPr>
      <w:rFonts w:ascii="XO Thames" w:hAnsi="XO Thames" w:eastAsia="Tahoma" w:cs="Noto Sans"/>
      <w:color w:val="0000FF"/>
      <w:spacing w:val="0"/>
      <w:kern w:val="0"/>
      <w:sz w:val="24"/>
      <w:szCs w:val="20"/>
      <w:u w:val="single"/>
      <w:lang w:val="ru-RU" w:eastAsia="zh-CN" w:bidi="hi-IN"/>
    </w:rPr>
  </w:style>
  <w:style w:type="paragraph" w:styleId="Heading411">
    <w:name w:val="Heading 411"/>
    <w:link w:val="Heading41"/>
    <w:qFormat/>
    <w:pPr>
      <w:widowControl/>
      <w:bidi w:val="0"/>
      <w:spacing w:lineRule="auto" w:line="240" w:before="0" w:after="0"/>
      <w:ind w:hanging="0" w:start="0" w:end="0"/>
      <w:jc w:val="start"/>
    </w:pPr>
    <w:rPr>
      <w:rFonts w:ascii="XO Thames" w:hAnsi="XO Thames" w:eastAsia="Tahoma" w:cs="Noto Sans"/>
      <w:b/>
      <w:color w:val="000000"/>
      <w:spacing w:val="0"/>
      <w:kern w:val="0"/>
      <w:sz w:val="24"/>
      <w:szCs w:val="20"/>
      <w:lang w:val="ru-RU" w:eastAsia="zh-CN" w:bidi="hi-IN"/>
    </w:rPr>
  </w:style>
  <w:style w:type="paragraph" w:styleId="user4">
    <w:name w:val="Колонтитулы (user)"/>
    <w:qFormat/>
    <w:pPr>
      <w:widowControl/>
      <w:bidi w:val="0"/>
      <w:spacing w:lineRule="auto" w:line="240" w:before="0" w:after="0"/>
      <w:ind w:hanging="0" w:start="0" w:end="0"/>
      <w:jc w:val="both"/>
    </w:pPr>
    <w:rPr>
      <w:rFonts w:ascii="XO Thames" w:hAnsi="XO Thames" w:eastAsia="Tahoma" w:cs="Noto Sans"/>
      <w:color w:val="000000"/>
      <w:spacing w:val="0"/>
      <w:kern w:val="0"/>
      <w:sz w:val="28"/>
      <w:szCs w:val="20"/>
      <w:lang w:val="ru-RU" w:eastAsia="zh-CN" w:bidi="hi-IN"/>
    </w:rPr>
  </w:style>
  <w:style w:type="paragraph" w:styleId="user5">
    <w:name w:val="Указатель (user)"/>
    <w:basedOn w:val="Normal"/>
    <w:qFormat/>
    <w:pPr/>
    <w:rPr/>
  </w:style>
  <w:style w:type="paragraph" w:styleId="16">
    <w:name w:val="Символ концевой сноски1"/>
    <w:link w:val="Style14"/>
    <w:qFormat/>
    <w:pPr>
      <w:widowControl/>
      <w:bidi w:val="0"/>
      <w:spacing w:lineRule="auto" w:line="240" w:before="0" w:after="0"/>
      <w:ind w:hanging="0" w:start="0" w:end="0"/>
      <w:jc w:val="start"/>
    </w:pPr>
    <w:rPr>
      <w:rFonts w:ascii="XO Thames" w:hAnsi="XO Thames" w:eastAsia="Tahoma" w:cs="Noto Sans"/>
      <w:color w:val="000000"/>
      <w:spacing w:val="0"/>
      <w:kern w:val="0"/>
      <w:sz w:val="24"/>
      <w:szCs w:val="20"/>
      <w:vertAlign w:val="superscript"/>
      <w:lang w:val="ru-RU" w:eastAsia="zh-CN" w:bidi="hi-IN"/>
    </w:rPr>
  </w:style>
  <w:style w:type="paragraph" w:styleId="Footnote11">
    <w:name w:val="Footnote11"/>
    <w:link w:val="Footnote1"/>
    <w:qFormat/>
    <w:pPr>
      <w:widowControl/>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Default1">
    <w:name w:val="Default1"/>
    <w:link w:val="Default"/>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Internetlink2">
    <w:name w:val="Internet link2"/>
    <w:qFormat/>
    <w:pPr>
      <w:widowControl/>
      <w:bidi w:val="0"/>
      <w:spacing w:lineRule="auto" w:line="240" w:before="0" w:after="0"/>
      <w:ind w:hanging="0" w:start="0" w:end="0"/>
      <w:jc w:val="start"/>
    </w:pPr>
    <w:rPr>
      <w:rFonts w:ascii="XO Thames" w:hAnsi="XO Thames" w:eastAsia="Tahoma" w:cs="Noto Sans"/>
      <w:color w:val="0000FF"/>
      <w:spacing w:val="0"/>
      <w:kern w:val="0"/>
      <w:sz w:val="24"/>
      <w:szCs w:val="20"/>
      <w:u w:val="single"/>
      <w:lang w:val="ru-RU" w:eastAsia="zh-CN" w:bidi="hi-IN"/>
    </w:rPr>
  </w:style>
  <w:style w:type="paragraph" w:styleId="Footnote2">
    <w:name w:val="Footnote2"/>
    <w:basedOn w:val="Normal"/>
    <w:link w:val="Footnote"/>
    <w:qFormat/>
    <w:pPr>
      <w:widowControl/>
      <w:ind w:hanging="340" w:start="340"/>
    </w:pPr>
    <w:rPr>
      <w:sz w:val="20"/>
    </w:rPr>
  </w:style>
  <w:style w:type="paragraph" w:styleId="Subtitle11">
    <w:name w:val="Subtitle11"/>
    <w:link w:val="Subtitle1"/>
    <w:qFormat/>
    <w:pPr>
      <w:widowControl/>
      <w:bidi w:val="0"/>
      <w:spacing w:lineRule="auto" w:line="240" w:before="0" w:after="0"/>
      <w:ind w:hanging="0" w:start="0" w:end="0"/>
      <w:jc w:val="start"/>
    </w:pPr>
    <w:rPr>
      <w:rFonts w:ascii="XO Thames" w:hAnsi="XO Thames" w:eastAsia="Tahoma" w:cs="Noto Sans"/>
      <w:i/>
      <w:color w:val="000000"/>
      <w:spacing w:val="0"/>
      <w:kern w:val="0"/>
      <w:sz w:val="24"/>
      <w:szCs w:val="20"/>
      <w:lang w:val="ru-RU" w:eastAsia="zh-CN" w:bidi="hi-IN"/>
    </w:rPr>
  </w:style>
  <w:style w:type="paragraph" w:styleId="TOC1">
    <w:name w:val="toc 1"/>
    <w:next w:val="Normal"/>
    <w:uiPriority w:val="39"/>
    <w:pPr>
      <w:widowControl/>
      <w:bidi w:val="0"/>
      <w:spacing w:lineRule="auto" w:line="240" w:before="0" w:after="0"/>
      <w:ind w:hanging="0" w:start="0" w:end="0"/>
      <w:jc w:val="start"/>
    </w:pPr>
    <w:rPr>
      <w:rFonts w:ascii="XO Thames" w:hAnsi="XO Thames" w:eastAsia="Tahoma" w:cs="Noto Sans"/>
      <w:b/>
      <w:color w:val="000000"/>
      <w:spacing w:val="0"/>
      <w:kern w:val="0"/>
      <w:sz w:val="28"/>
      <w:szCs w:val="20"/>
      <w:lang w:val="ru-RU" w:eastAsia="zh-CN" w:bidi="hi-IN"/>
    </w:rPr>
  </w:style>
  <w:style w:type="paragraph" w:styleId="TOC9">
    <w:name w:val="toc 9"/>
    <w:next w:val="Normal"/>
    <w:uiPriority w:val="39"/>
    <w:pPr>
      <w:widowControl/>
      <w:bidi w:val="0"/>
      <w:spacing w:lineRule="auto" w:line="240" w:before="0" w:after="0"/>
      <w:ind w:hanging="0" w:start="1600" w:end="0"/>
      <w:jc w:val="start"/>
    </w:pPr>
    <w:rPr>
      <w:rFonts w:ascii="XO Thames" w:hAnsi="XO Thames" w:eastAsia="Tahoma" w:cs="Noto Sans"/>
      <w:color w:val="000000"/>
      <w:spacing w:val="0"/>
      <w:kern w:val="0"/>
      <w:sz w:val="28"/>
      <w:szCs w:val="20"/>
      <w:lang w:val="ru-RU" w:eastAsia="zh-CN" w:bidi="hi-IN"/>
    </w:rPr>
  </w:style>
  <w:style w:type="paragraph" w:styleId="Heading211">
    <w:name w:val="Heading 211"/>
    <w:link w:val="Heading21"/>
    <w:qFormat/>
    <w:pPr>
      <w:widowControl/>
      <w:bidi w:val="0"/>
      <w:spacing w:lineRule="auto" w:line="240" w:before="0" w:after="0"/>
      <w:ind w:hanging="0" w:start="0" w:end="0"/>
      <w:jc w:val="start"/>
    </w:pPr>
    <w:rPr>
      <w:rFonts w:ascii="XO Thames" w:hAnsi="XO Thames" w:eastAsia="Tahoma" w:cs="Noto Sans"/>
      <w:b/>
      <w:color w:val="000000"/>
      <w:spacing w:val="0"/>
      <w:kern w:val="0"/>
      <w:sz w:val="28"/>
      <w:szCs w:val="20"/>
      <w:lang w:val="ru-RU" w:eastAsia="zh-CN" w:bidi="hi-IN"/>
    </w:rPr>
  </w:style>
  <w:style w:type="paragraph" w:styleId="EndnoteSymbol">
    <w:name w:val="Endnote Symbol"/>
    <w:qFormat/>
    <w:pPr>
      <w:widowControl/>
      <w:bidi w:val="0"/>
      <w:spacing w:lineRule="auto" w:line="240" w:before="0" w:after="0"/>
      <w:ind w:hanging="0" w:start="0" w:end="0"/>
      <w:jc w:val="start"/>
    </w:pPr>
    <w:rPr>
      <w:rFonts w:ascii="XO Thames" w:hAnsi="XO Thames" w:eastAsia="Tahoma" w:cs="Noto Sans"/>
      <w:color w:val="000000"/>
      <w:spacing w:val="0"/>
      <w:kern w:val="0"/>
      <w:sz w:val="24"/>
      <w:szCs w:val="20"/>
      <w:vertAlign w:val="superscript"/>
      <w:lang w:val="ru-RU" w:eastAsia="zh-CN" w:bidi="hi-IN"/>
    </w:rPr>
  </w:style>
  <w:style w:type="paragraph" w:styleId="CommentText">
    <w:name w:val="annotation text"/>
    <w:basedOn w:val="Normal"/>
    <w:pPr/>
    <w:rPr>
      <w:sz w:val="20"/>
    </w:rPr>
  </w:style>
  <w:style w:type="paragraph" w:styleId="TOC8">
    <w:name w:val="toc 8"/>
    <w:next w:val="Normal"/>
    <w:uiPriority w:val="39"/>
    <w:pPr>
      <w:widowControl/>
      <w:bidi w:val="0"/>
      <w:spacing w:lineRule="auto" w:line="240" w:before="0" w:after="0"/>
      <w:ind w:hanging="0" w:start="1400" w:end="0"/>
      <w:jc w:val="start"/>
    </w:pPr>
    <w:rPr>
      <w:rFonts w:ascii="XO Thames" w:hAnsi="XO Thames" w:eastAsia="Tahoma" w:cs="Noto Sans"/>
      <w:color w:val="000000"/>
      <w:spacing w:val="0"/>
      <w:kern w:val="0"/>
      <w:sz w:val="28"/>
      <w:szCs w:val="20"/>
      <w:lang w:val="ru-RU" w:eastAsia="zh-CN" w:bidi="hi-IN"/>
    </w:rPr>
  </w:style>
  <w:style w:type="paragraph" w:styleId="FootnoteSymbol">
    <w:name w:val="Footnote Symbol"/>
    <w:qFormat/>
    <w:pPr>
      <w:widowControl/>
      <w:bidi w:val="0"/>
      <w:spacing w:lineRule="auto" w:line="240" w:before="0" w:after="0"/>
      <w:ind w:hanging="0" w:start="0" w:end="0"/>
      <w:jc w:val="start"/>
    </w:pPr>
    <w:rPr>
      <w:rFonts w:ascii="XO Thames" w:hAnsi="XO Thames" w:eastAsia="Tahoma" w:cs="Noto Sans"/>
      <w:color w:val="000000"/>
      <w:spacing w:val="0"/>
      <w:kern w:val="0"/>
      <w:sz w:val="24"/>
      <w:szCs w:val="20"/>
      <w:vertAlign w:val="superscript"/>
      <w:lang w:val="ru-RU" w:eastAsia="zh-CN" w:bidi="hi-IN"/>
    </w:rPr>
  </w:style>
  <w:style w:type="paragraph" w:styleId="Contents52">
    <w:name w:val="Contents 52"/>
    <w:link w:val="Contents5"/>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Times121">
    <w:name w:val="Times 121"/>
    <w:basedOn w:val="Normal"/>
    <w:link w:val="Times12"/>
    <w:qFormat/>
    <w:pPr>
      <w:widowControl/>
      <w:ind w:firstLine="567"/>
      <w:jc w:val="both"/>
    </w:pPr>
    <w:rPr/>
  </w:style>
  <w:style w:type="paragraph" w:styleId="111">
    <w:name w:val="заголовок 111"/>
    <w:basedOn w:val="Normal"/>
    <w:next w:val="Normal"/>
    <w:link w:val="11"/>
    <w:qFormat/>
    <w:pPr>
      <w:keepNext w:val="true"/>
      <w:widowControl/>
      <w:jc w:val="center"/>
    </w:pPr>
    <w:rPr/>
  </w:style>
  <w:style w:type="paragraph" w:styleId="Endnote11">
    <w:name w:val="Endnote11"/>
    <w:link w:val="Endnote1"/>
    <w:qFormat/>
    <w:pPr>
      <w:widowControl/>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TOC5">
    <w:name w:val="toc 5"/>
    <w:next w:val="Normal"/>
    <w:uiPriority w:val="39"/>
    <w:pPr>
      <w:widowControl/>
      <w:bidi w:val="0"/>
      <w:spacing w:lineRule="auto" w:line="240" w:before="0" w:after="0"/>
      <w:ind w:hanging="0" w:start="800" w:end="0"/>
      <w:jc w:val="start"/>
    </w:pPr>
    <w:rPr>
      <w:rFonts w:ascii="XO Thames" w:hAnsi="XO Thames" w:eastAsia="Tahoma" w:cs="Noto Sans"/>
      <w:color w:val="000000"/>
      <w:spacing w:val="0"/>
      <w:kern w:val="0"/>
      <w:sz w:val="28"/>
      <w:szCs w:val="20"/>
      <w:lang w:val="ru-RU" w:eastAsia="zh-CN" w:bidi="hi-IN"/>
    </w:rPr>
  </w:style>
  <w:style w:type="paragraph" w:styleId="Contents42">
    <w:name w:val="Contents 42"/>
    <w:link w:val="Contents41"/>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Contents12">
    <w:name w:val="Contents 12"/>
    <w:link w:val="Contents11"/>
    <w:qFormat/>
    <w:pPr>
      <w:widowControl/>
      <w:bidi w:val="0"/>
      <w:spacing w:lineRule="auto" w:line="240" w:before="0" w:after="0"/>
      <w:ind w:hanging="0" w:start="0" w:end="0"/>
      <w:jc w:val="start"/>
    </w:pPr>
    <w:rPr>
      <w:rFonts w:ascii="XO Thames" w:hAnsi="XO Thames" w:eastAsia="Tahoma" w:cs="Noto Sans"/>
      <w:b/>
      <w:color w:val="000000"/>
      <w:spacing w:val="0"/>
      <w:kern w:val="0"/>
      <w:sz w:val="28"/>
      <w:szCs w:val="20"/>
      <w:lang w:val="ru-RU" w:eastAsia="zh-CN" w:bidi="hi-IN"/>
    </w:rPr>
  </w:style>
  <w:style w:type="paragraph" w:styleId="Subtitle">
    <w:name w:val="Subtitle"/>
    <w:next w:val="Normal"/>
    <w:uiPriority w:val="11"/>
    <w:qFormat/>
    <w:pPr>
      <w:widowControl/>
      <w:bidi w:val="0"/>
      <w:spacing w:lineRule="auto" w:line="240" w:before="0" w:after="0"/>
      <w:ind w:hanging="0" w:start="0" w:end="0"/>
      <w:jc w:val="both"/>
    </w:pPr>
    <w:rPr>
      <w:rFonts w:ascii="XO Thames" w:hAnsi="XO Thames" w:eastAsia="Tahoma" w:cs="Noto Sans"/>
      <w:i/>
      <w:color w:val="000000"/>
      <w:spacing w:val="0"/>
      <w:kern w:val="0"/>
      <w:sz w:val="24"/>
      <w:szCs w:val="20"/>
      <w:lang w:val="ru-RU" w:eastAsia="zh-CN" w:bidi="hi-IN"/>
    </w:rPr>
  </w:style>
  <w:style w:type="paragraph" w:styleId="Title">
    <w:name w:val="Title"/>
    <w:next w:val="Normal"/>
    <w:uiPriority w:val="10"/>
    <w:qFormat/>
    <w:pPr>
      <w:widowControl/>
      <w:bidi w:val="0"/>
      <w:spacing w:lineRule="auto" w:line="240" w:before="567" w:after="567"/>
      <w:ind w:hanging="0" w:start="0" w:end="0"/>
      <w:jc w:val="center"/>
    </w:pPr>
    <w:rPr>
      <w:rFonts w:ascii="XO Thames" w:hAnsi="XO Thames" w:eastAsia="Tahoma" w:cs="Noto Sans"/>
      <w:b/>
      <w:caps/>
      <w:color w:val="000000"/>
      <w:spacing w:val="0"/>
      <w:kern w:val="0"/>
      <w:sz w:val="40"/>
      <w:szCs w:val="20"/>
      <w:lang w:val="ru-RU" w:eastAsia="zh-CN" w:bidi="hi-IN"/>
    </w:rPr>
  </w:style>
  <w:style w:type="paragraph" w:styleId="Contents22">
    <w:name w:val="Contents 22"/>
    <w:link w:val="Contents21"/>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FootnoteText">
    <w:name w:val="footnote text"/>
    <w:basedOn w:val="Normal"/>
    <w:pPr/>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ompany.rt.ru/" TargetMode="External"/><Relationship Id="rId4" Type="http://schemas.openxmlformats.org/officeDocument/2006/relationships/hyperlink" Target="http://zakupki.rostelecom.ru/info_docs/docs/" TargetMode="External"/><Relationship Id="rId5" Type="http://schemas.openxmlformats.org/officeDocument/2006/relationships/hyperlink" Target="http://www.zakupki.gov.ru/" TargetMode="External"/><Relationship Id="rId6" Type="http://schemas.openxmlformats.org/officeDocument/2006/relationships/hyperlink" Target="http://zakupki.rostelecom.ru/info_docs/docs/" TargetMode="External"/><Relationship Id="rId7" Type="http://schemas.openxmlformats.org/officeDocument/2006/relationships/hyperlink" Target="http://zakupki.rostelecom.ru/info_docs/docs/" TargetMode="External"/><Relationship Id="rId8" Type="http://schemas.openxmlformats.org/officeDocument/2006/relationships/hyperlink" Target="http://zakupki.rostelecom.ru/info_docs/docs/" TargetMode="External"/><Relationship Id="rId9" Type="http://schemas.openxmlformats.org/officeDocument/2006/relationships/hyperlink" Target="http://zakupki.rostelecom.ru/info_docs/docs/" TargetMode="External"/><Relationship Id="rId10" Type="http://schemas.openxmlformats.org/officeDocument/2006/relationships/hyperlink" Target="https://www.company.rt.ru/" TargetMode="External"/><Relationship Id="rId11" Type="http://schemas.openxmlformats.org/officeDocument/2006/relationships/hyperlink" Target="http://zakupki.rostelecom.ru/info_docs/docs/" TargetMode="External"/><Relationship Id="rId12" Type="http://schemas.openxmlformats.org/officeDocument/2006/relationships/hyperlink" Target="https://zakupki.rostelecom.ru/" TargetMode="External"/><Relationship Id="rId13" Type="http://schemas.openxmlformats.org/officeDocument/2006/relationships/hyperlink" Target="http://zakupki.rostelecom.ru/info_docs/docs/" TargetMode="External"/><Relationship Id="rId14" Type="http://schemas.openxmlformats.org/officeDocument/2006/relationships/hyperlink" Target="http://zakupki.rostelecom.ru/docs/manual/" TargetMode="External"/><Relationship Id="rId15" Type="http://schemas.openxmlformats.org/officeDocument/2006/relationships/hyperlink" Target="http://zakupki.rostelecom.ru/info_docs/docs/" TargetMode="External"/><Relationship Id="rId16" Type="http://schemas.openxmlformats.org/officeDocument/2006/relationships/hyperlink" Target="http://zakupki.rostelecom.ru/docs/manual/" TargetMode="External"/><Relationship Id="rId17" Type="http://schemas.openxmlformats.org/officeDocument/2006/relationships/hyperlink" Target="https://nocorruption.rt.ru/documents/company" TargetMode="External"/><Relationship Id="rId18" Type="http://schemas.openxmlformats.org/officeDocument/2006/relationships/hyperlink" Target="https://nocorruption.rt.ru/education/tests" TargetMode="External"/><Relationship Id="rId19" Type="http://schemas.openxmlformats.org/officeDocument/2006/relationships/hyperlink" Target="https://nocorruption.rt.ru/feedback" TargetMode="External"/><Relationship Id="rId20" Type="http://schemas.openxmlformats.org/officeDocument/2006/relationships/hyperlink" Target="mailto:ethics@rt.ru%20" TargetMode="External"/><Relationship Id="rId21" Type="http://schemas.openxmlformats.org/officeDocument/2006/relationships/hyperlink" Target="mailto:n.tumanov@volga.rt.ru" TargetMode="External"/><Relationship Id="rId22" Type="http://schemas.openxmlformats.org/officeDocument/2006/relationships/hyperlink" Target="http://www.zakupki.gov.ru/" TargetMode="External"/><Relationship Id="rId23" Type="http://schemas.openxmlformats.org/officeDocument/2006/relationships/hyperlink" Target="http://www.zakupki.gov.ru/"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header" Target="header4.xml"/><Relationship Id="rId28" Type="http://schemas.openxmlformats.org/officeDocument/2006/relationships/header" Target="header5.xml"/><Relationship Id="rId29" Type="http://schemas.openxmlformats.org/officeDocument/2006/relationships/header" Target="header6.xml"/><Relationship Id="rId30" Type="http://schemas.openxmlformats.org/officeDocument/2006/relationships/header" Target="header7.xml"/><Relationship Id="rId31" Type="http://schemas.openxmlformats.org/officeDocument/2006/relationships/header" Target="header8.xml"/><Relationship Id="rId32" Type="http://schemas.openxmlformats.org/officeDocument/2006/relationships/header" Target="head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header" Target="header12.xml"/><Relationship Id="rId36" Type="http://schemas.openxmlformats.org/officeDocument/2006/relationships/footnotes" Target="footnotes.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pitchFamily="0" charset="1"/>
        <a:ea typeface=""/>
        <a:cs typeface=""/>
      </a:majorFont>
      <a:minorFont>
        <a:latin typeface="XO Thames" pitchFamily="0" charset="1"/>
        <a:ea typeface=""/>
        <a:cs typeface=""/>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l="0" t="0" r="0" b="0"/>
        </a:gradFill>
        <a:gradFill>
          <a:gsLst>
            <a:gs pos="0">
              <a:schemeClr val="phClr">
                <a:tint val="2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LibreOffice/25.8.0.4$Linux_X86_64 LibreOffice_project/48f00303701489684e67c38c28aff00cd5929e67</Application>
  <AppVersion>15.0000</AppVersion>
  <Pages>48</Pages>
  <Words>13331</Words>
  <Characters>94020</Characters>
  <CharactersWithSpaces>106814</CharactersWithSpaces>
  <Paragraphs>698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2025-07-25T09:04:47Z</dcterms:created>
  <dc:creator/>
  <dc:description/>
  <dc:language>ru-RU</dc:language>
  <cp:lastModifiedBy/>
  <dcterms:modified xsi:type="dcterms:W3CDTF">2026-02-04T17:58:46Z</dcterms:modified>
  <cp:revision>2</cp:revision>
  <dc:subject/>
  <dc:title/>
</cp:coreProperties>
</file>