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1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3.xml" ContentType="application/vnd.openxmlformats-officedocument.customXmlPropertie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Lines w:val="false"/>
        <w:tabs>
          <w:tab w:val="clear" w:pos="708"/>
          <w:tab w:val="left" w:pos="6424" w:leader="none"/>
        </w:tabs>
        <w:spacing w:before="0" w:after="0"/>
        <w:ind w:hanging="360" w:start="792"/>
        <w:jc w:val="start"/>
        <w:rPr>
          <w:rFonts w:ascii="Times New Roman" w:hAnsi="Times New Roman" w:eastAsia="MS Mincho"/>
          <w:b w:val="false"/>
          <w:bCs w:val="false"/>
          <w:color w:val="17365D"/>
          <w:kern w:val="2"/>
          <w:szCs w:val="24"/>
          <w:lang w:eastAsia="x-none"/>
        </w:rPr>
      </w:pPr>
      <w:bookmarkStart w:id="0" w:name="_Toc381635633"/>
      <w:r>
        <w:rPr/>
        <w:drawing>
          <wp:inline distT="0" distB="0" distL="0" distR="0">
            <wp:extent cx="2722245" cy="1190625"/>
            <wp:effectExtent l="0" t="0" r="0" b="0"/>
            <wp:docPr id="1" name="Рисунок 2" descr="cid:image004.jpg@01D43E09.B4E34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id:image004.jpg@01D43E09.B4E34CD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keepLines w:val="false"/>
        <w:tabs>
          <w:tab w:val="clear" w:pos="708"/>
          <w:tab w:val="left" w:pos="6424" w:leader="none"/>
        </w:tabs>
        <w:spacing w:before="0" w:after="0"/>
        <w:ind w:hanging="360" w:start="792"/>
        <w:jc w:val="center"/>
        <w:rPr>
          <w:rFonts w:ascii="Times New Roman" w:hAnsi="Times New Roman" w:eastAsia="MS Mincho"/>
          <w:b w:val="false"/>
          <w:bCs w:val="false"/>
          <w:color w:val="17365D"/>
          <w:kern w:val="2"/>
          <w:szCs w:val="24"/>
          <w:lang w:eastAsia="x-none"/>
        </w:rPr>
      </w:pPr>
      <w:r>
        <w:rPr>
          <w:rFonts w:eastAsia="MS Mincho" w:ascii="Times New Roman" w:hAnsi="Times New Roman"/>
          <w:b w:val="false"/>
          <w:bCs w:val="false"/>
          <w:color w:val="17365D"/>
          <w:kern w:val="2"/>
          <w:szCs w:val="24"/>
          <w:lang w:eastAsia="x-none"/>
        </w:rPr>
      </w:r>
    </w:p>
    <w:p>
      <w:pPr>
        <w:pStyle w:val="Heading1"/>
        <w:keepLines w:val="false"/>
        <w:spacing w:before="0" w:after="0"/>
        <w:ind w:hanging="360" w:start="792"/>
        <w:jc w:val="start"/>
        <w:rPr>
          <w:rFonts w:ascii="Times New Roman" w:hAnsi="Times New Roman" w:eastAsia="MS Mincho"/>
          <w:b w:val="false"/>
          <w:bCs w:val="false"/>
          <w:color w:val="17365D"/>
          <w:kern w:val="2"/>
          <w:szCs w:val="24"/>
          <w:lang w:eastAsia="x-none"/>
        </w:rPr>
      </w:pPr>
      <w:r>
        <w:rPr>
          <w:rFonts w:eastAsia="MS Mincho" w:ascii="Times New Roman" w:hAnsi="Times New Roman"/>
          <w:b w:val="false"/>
          <w:bCs w:val="false"/>
          <w:color w:val="17365D"/>
          <w:kern w:val="2"/>
          <w:szCs w:val="24"/>
          <w:lang w:eastAsia="x-none"/>
        </w:rPr>
        <w:tab/>
        <w:tab/>
      </w:r>
    </w:p>
    <w:p>
      <w:pPr>
        <w:pStyle w:val="Heading1"/>
        <w:keepLines w:val="false"/>
        <w:tabs>
          <w:tab w:val="clear" w:pos="708"/>
          <w:tab w:val="left" w:pos="6424" w:leader="none"/>
        </w:tabs>
        <w:spacing w:before="0" w:after="0"/>
        <w:ind w:hanging="360" w:start="792"/>
        <w:jc w:val="center"/>
        <w:rPr>
          <w:rFonts w:ascii="Times New Roman" w:hAnsi="Times New Roman" w:eastAsia="MS Mincho"/>
          <w:color w:val="17365D"/>
          <w:kern w:val="2"/>
          <w:szCs w:val="24"/>
          <w:lang w:eastAsia="x-none"/>
        </w:rPr>
      </w:pPr>
      <w:bookmarkStart w:id="1" w:name="_Toc381635633"/>
      <w:r>
        <w:rPr>
          <w:rFonts w:eastAsia="MS Mincho" w:ascii="Times New Roman" w:hAnsi="Times New Roman"/>
          <w:b w:val="false"/>
          <w:bCs w:val="false"/>
          <w:color w:val="17365D"/>
          <w:kern w:val="2"/>
          <w:szCs w:val="24"/>
          <w:lang w:val="x-none" w:eastAsia="x-none"/>
        </w:rPr>
        <w:t xml:space="preserve">ИЗВЕЩЕНИЕ О </w:t>
      </w:r>
      <w:bookmarkEnd w:id="1"/>
      <w:r>
        <w:rPr>
          <w:rFonts w:eastAsia="MS Mincho" w:ascii="Times New Roman" w:hAnsi="Times New Roman"/>
          <w:b w:val="false"/>
          <w:bCs w:val="false"/>
          <w:color w:val="17365D"/>
          <w:kern w:val="2"/>
          <w:szCs w:val="24"/>
          <w:lang w:eastAsia="x-none"/>
        </w:rPr>
        <w:t>ПРОДЛЕНИИ СРОКОВ ЗАКУПКИ</w:t>
      </w:r>
    </w:p>
    <w:p>
      <w:pPr>
        <w:pStyle w:val="Normal"/>
        <w:rPr>
          <w:rFonts w:eastAsia="MS Mincho"/>
          <w:sz w:val="10"/>
          <w:szCs w:val="10"/>
          <w:lang w:eastAsia="x-none"/>
        </w:rPr>
      </w:pPr>
      <w:r>
        <w:rPr>
          <w:rFonts w:eastAsia="MS Mincho"/>
          <w:sz w:val="10"/>
          <w:szCs w:val="10"/>
          <w:lang w:eastAsia="x-none"/>
        </w:rPr>
      </w:r>
    </w:p>
    <w:p>
      <w:pPr>
        <w:pStyle w:val="Normal"/>
        <w:ind w:firstLine="567"/>
        <w:jc w:val="both"/>
        <w:rPr/>
      </w:pPr>
      <w:r>
        <w:rPr>
          <w:bCs/>
        </w:rPr>
        <w:t>Публичное акционерное общество «Ростелеком» (далее - ПАО «Ростелеком»</w:t>
      </w:r>
      <w:r>
        <w:rPr/>
        <w:t xml:space="preserve">, Заказчик) объявляет о переносе сроков открытия доступа к Заявкам, рассмотрения предложений участников закупки и </w:t>
      </w:r>
      <w:r>
        <w:rPr>
          <w:bCs/>
        </w:rPr>
        <w:t>подведения итогов закупки способом – запрос цен</w:t>
      </w:r>
      <w:r>
        <w:rPr/>
        <w:t xml:space="preserve"> в электронной форме на право заключения договора</w:t>
      </w:r>
      <w:r>
        <w:rPr>
          <w:bCs/>
        </w:rPr>
        <w:t xml:space="preserve"> на </w:t>
      </w:r>
      <w:r>
        <w:rPr>
          <w:b/>
          <w:bCs/>
          <w:i w:val="false"/>
          <w:strike w:val="false"/>
          <w:dstrike w:val="false"/>
          <w:shadow w:val="false"/>
          <w:color w:val="000000"/>
          <w:sz w:val="24"/>
          <w:u w:val="none"/>
        </w:rPr>
        <w:t>Предоставление права использования программного обеспечения «ДОРИС Контроль»</w:t>
      </w:r>
      <w:r>
        <w:rPr>
          <w:bCs/>
        </w:rPr>
        <w:t>, № закупки на официальном сайте 32615658657</w:t>
      </w:r>
      <w:r>
        <w:rPr/>
        <w:t>:</w:t>
      </w:r>
    </w:p>
    <w:tbl>
      <w:tblPr>
        <w:tblW w:w="10774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93"/>
        <w:gridCol w:w="8080"/>
      </w:tblGrid>
      <w:tr>
        <w:trPr>
          <w:trHeight w:val="897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Default1"/>
              <w:rPr>
                <w:b/>
                <w:iCs/>
              </w:rPr>
            </w:pPr>
            <w:r>
              <w:rPr>
                <w:b/>
                <w:bCs/>
              </w:rPr>
              <w:t xml:space="preserve">Фирменное наименование, место нахождения, почтовый адрес, адрес электронной почты, номер контактного телефона Заказчика (филиала Заказчика) </w:t>
            </w:r>
          </w:p>
        </w:tc>
        <w:tc>
          <w:tcPr>
            <w:tcW w:w="8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1"/>
              <w:jc w:val="both"/>
              <w:rPr>
                <w:bCs/>
                <w:i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Публичное акционерное общество «Ростелеком» (ПАО «Ростелеком»).</w:t>
            </w:r>
          </w:p>
          <w:p>
            <w:pPr>
              <w:pStyle w:val="Default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нахождения: Российская Федерация, 191167, город Санкт-Петербург, вн. тер. г., Муниципальный округ Смольнинское, Синопская набережная, дом 14, литера А.</w:t>
            </w:r>
          </w:p>
          <w:p>
            <w:pPr>
              <w:pStyle w:val="Default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Почтовый адрес: 115172, г. Москва, ул. Гончарная, д. 30.</w:t>
            </w:r>
          </w:p>
          <w:p>
            <w:pPr>
              <w:pStyle w:val="Default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Default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Ответственное лицо Заказчика по организационным вопросам проведения закупки:</w:t>
            </w:r>
          </w:p>
          <w:p>
            <w:pPr>
              <w:pStyle w:val="Default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Туманов Никита Александрович</w:t>
            </w:r>
          </w:p>
          <w:p>
            <w:pPr>
              <w:pStyle w:val="Default1"/>
              <w:rPr>
                <w:iCs/>
              </w:rPr>
            </w:pPr>
            <w:r>
              <w:rPr>
                <w:bCs/>
                <w:sz w:val="22"/>
                <w:szCs w:val="22"/>
              </w:rPr>
              <w:t xml:space="preserve">тел. + 7 (958) 548-13-04, </w:t>
            </w: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3">
              <w:r>
                <w:rPr>
                  <w:rStyle w:val="Hyperlink"/>
                  <w:sz w:val="22"/>
                  <w:szCs w:val="22"/>
                  <w:lang w:val="en-US"/>
                </w:rPr>
                <w:t>n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tumanov</w:t>
              </w:r>
              <w:r>
                <w:rPr>
                  <w:rStyle w:val="Hyperlink"/>
                  <w:sz w:val="22"/>
                  <w:szCs w:val="22"/>
                </w:rPr>
                <w:t>@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volga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rt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>
        <w:trPr>
          <w:trHeight w:val="889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Default1"/>
              <w:rPr>
                <w:b/>
                <w:iCs/>
              </w:rPr>
            </w:pPr>
            <w:r>
              <w:rPr>
                <w:b/>
                <w:iCs/>
              </w:rPr>
              <w:t>Предмет договора</w:t>
            </w:r>
          </w:p>
        </w:tc>
        <w:tc>
          <w:tcPr>
            <w:tcW w:w="8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1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Лот № 1</w:t>
            </w:r>
          </w:p>
          <w:p>
            <w:pPr>
              <w:pStyle w:val="Normal"/>
              <w:widowControl/>
              <w:jc w:val="start"/>
              <w:rPr>
                <w:rFonts w:ascii="XO Thames" w:hAnsi="XO Thames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2"/>
                <w:szCs w:val="22"/>
                <w:u w:val="none"/>
              </w:rPr>
              <w:t>Предоставление права использования программного обеспечения «ДОРИС Контроль»</w:t>
            </w:r>
          </w:p>
        </w:tc>
      </w:tr>
      <w:tr>
        <w:trPr>
          <w:trHeight w:val="705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Default1"/>
              <w:rPr>
                <w:b/>
                <w:bCs/>
              </w:rPr>
            </w:pPr>
            <w:r>
              <w:rPr>
                <w:b/>
                <w:iCs/>
              </w:rPr>
              <w:t>Сведения о начальной (максимальной) цене договора (цене Лота)</w:t>
            </w:r>
          </w:p>
        </w:tc>
        <w:tc>
          <w:tcPr>
            <w:tcW w:w="8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1"/>
              <w:widowControl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Default1"/>
              <w:widowControl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Начальная (максимальная) цена договора: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sz w:val="20"/>
                <w:u w:val="none"/>
              </w:rPr>
              <w:t xml:space="preserve">98 500 000,00 (Девяносто восемь миллионов пятьсот тысяч) рублей 00 копеек,  </w:t>
            </w:r>
            <w:r>
              <w:rPr>
                <w:rFonts w:ascii="XO Thames" w:hAnsi="XO Thames"/>
                <w:b w:val="false"/>
                <w:i w:val="false"/>
                <w:strike w:val="false"/>
                <w:dstrike w:val="false"/>
                <w:shadow w:val="false"/>
                <w:sz w:val="22"/>
                <w:u w:val="none"/>
              </w:rPr>
              <w:t xml:space="preserve">НДС не облагается в соответствии с подпунктом 26 пункта 2 статьи 149 Налогового Кодекса Российской Федерации (ПО зарегистрировано в Едином реестре российских программ для электронных вычислительных машин и баз данных (далее – Реестр) за номером </w:t>
            </w:r>
            <w:r>
              <w:rPr>
                <w:rFonts w:ascii="XO Thames" w:hAnsi="XO Thames"/>
                <w:b w:val="false"/>
                <w:i w:val="false"/>
                <w:strike w:val="false"/>
                <w:dstrike w:val="false"/>
                <w:shadow w:val="false"/>
                <w:color w:val="000000"/>
                <w:sz w:val="22"/>
                <w:u w:val="none"/>
              </w:rPr>
              <w:t>12412</w:t>
            </w:r>
          </w:p>
          <w:p>
            <w:pPr>
              <w:pStyle w:val="Default1"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.</w:t>
            </w:r>
          </w:p>
          <w:p>
            <w:pPr>
              <w:pStyle w:val="Default1"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1"/>
              <w:widowControl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Начальная (максимальная) цена единицы продукции: </w:t>
            </w:r>
            <w:r>
              <w:rPr>
                <w:sz w:val="22"/>
              </w:rPr>
              <w:t xml:space="preserve">Начальные (максимальные) цены единиц товаров, работ, услуг указаны в </w:t>
            </w:r>
            <w:hyperlink w:anchor="_Форма_3_ТЕХНИКО-КОММЕРЧЕСКОЕ">
              <w:r>
                <w:rPr>
                  <w:rStyle w:val="Style3"/>
                  <w:sz w:val="22"/>
                </w:rPr>
                <w:t>Форме 2 раздела III «ФОРМЫ ДЛЯ ЗАПОЛНЕНИЯ УЧАСТНИКАМИ ЗАКУПКИ»</w:t>
              </w:r>
            </w:hyperlink>
            <w:r>
              <w:rPr>
                <w:sz w:val="22"/>
              </w:rPr>
              <w:t>.</w:t>
            </w:r>
          </w:p>
          <w:p>
            <w:pPr>
              <w:pStyle w:val="Default1"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1"/>
              <w:widowControl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Порядок формирования начальной (максимальной) цены договора/единицы продукции: </w:t>
            </w:r>
            <w:r>
              <w:rPr>
                <w:sz w:val="22"/>
              </w:rPr>
              <w:t>начальная (максимальная) цена договора/единицы продукции сформирована с учетом всех расходов, в том числе расходов на перевозку, страхование, уплату таможенных пошлин, налогов и других обязательных платежей.</w:t>
            </w:r>
          </w:p>
          <w:p>
            <w:pPr>
              <w:pStyle w:val="Normal"/>
              <w:keepNext w:val="true"/>
              <w:keepLines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Default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5" w:hRule="atLeast"/>
        </w:trPr>
        <w:tc>
          <w:tcPr>
            <w:tcW w:w="107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E5FF" w:val="clear"/>
            <w:vAlign w:val="center"/>
          </w:tcPr>
          <w:p>
            <w:pPr>
              <w:pStyle w:val="Default1"/>
              <w:spacing w:lineRule="auto" w:line="360"/>
              <w:jc w:val="both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 xml:space="preserve">Внести изменения в документацию о проведении запроса цен в электронном виде  на право заключения договора на </w:t>
            </w:r>
            <w:r>
              <w:rPr>
                <w:b/>
                <w:bCs/>
                <w:i w:val="false"/>
                <w:iCs/>
                <w:strike w:val="false"/>
                <w:dstrike w:val="false"/>
                <w:shadow w:val="false"/>
                <w:color w:val="000000"/>
                <w:sz w:val="24"/>
                <w:u w:val="none"/>
              </w:rPr>
              <w:t>Предоставление права использования программного обеспечения «ДОРИС Контроль»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Cs/>
                <w:color w:val="auto"/>
              </w:rPr>
              <w:t>в части даты открытия доступа к Заявкам, рассмотрения предложений участников закупки и подведения итогов закупки изложить в следующей редакции: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Default1"/>
              <w:rPr>
                <w:b/>
                <w:iCs/>
              </w:rPr>
            </w:pPr>
            <w:r>
              <w:rPr>
                <w:b/>
                <w:bCs/>
              </w:rPr>
              <w:t>Место, дата и время начала и окончания срока подачи Заявок на участие в закупке</w:t>
            </w:r>
          </w:p>
        </w:tc>
        <w:tc>
          <w:tcPr>
            <w:tcW w:w="8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rvps9"/>
              <w:rPr>
                <w:sz w:val="22"/>
              </w:rPr>
            </w:pPr>
            <w:r>
              <w:rPr>
                <w:sz w:val="22"/>
              </w:rPr>
              <w:t>Заявки подаются посредством ЭТП по адресу: https://tender.lot-online.ru                                    в соответствии с регламентом работы ЭТП.</w:t>
            </w:r>
          </w:p>
          <w:p>
            <w:pPr>
              <w:pStyle w:val="Normal"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Дата начала срока: день размещения на ЭТП извещения и документации.</w:t>
            </w:r>
          </w:p>
          <w:p>
            <w:pPr>
              <w:pStyle w:val="Normal"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Дата и время окончания срока: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.02.2026 09:00 (время московское)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Default1"/>
              <w:rPr>
                <w:b/>
                <w:iCs/>
              </w:rPr>
            </w:pPr>
            <w:r>
              <w:rPr>
                <w:b/>
                <w:bCs/>
              </w:rPr>
              <w:t>Место, дата и время открытия доступа к Заявкам</w:t>
            </w:r>
          </w:p>
        </w:tc>
        <w:tc>
          <w:tcPr>
            <w:tcW w:w="8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>
              <w:rPr>
                <w:sz w:val="22"/>
              </w:rPr>
              <w:t>.02.2026 09:00 (время московское)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iCs/>
                <w:sz w:val="22"/>
                <w:szCs w:val="22"/>
              </w:rPr>
              <w:t>Место открытия доступа к поданным заявкам – ЭТП.</w:t>
            </w:r>
          </w:p>
        </w:tc>
      </w:tr>
      <w:tr>
        <w:trPr>
          <w:trHeight w:val="1997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Default1"/>
              <w:rPr>
                <w:b/>
                <w:iCs/>
              </w:rPr>
            </w:pPr>
            <w:r>
              <w:rPr>
                <w:b/>
                <w:bCs/>
              </w:rPr>
              <w:t>Место и дата рассмотрения Заявок, проведения основного этапа закупки (оценки и сопоставления Заявок), подведения итогов закупки</w:t>
            </w:r>
          </w:p>
        </w:tc>
        <w:tc>
          <w:tcPr>
            <w:tcW w:w="8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Рассмотрение заявок</w:t>
            </w:r>
            <w:r>
              <w:rPr>
                <w:sz w:val="22"/>
              </w:rPr>
              <w:t>: 0</w:t>
            </w:r>
            <w:r>
              <w:rPr>
                <w:sz w:val="22"/>
              </w:rPr>
              <w:t>9</w:t>
            </w:r>
            <w:r>
              <w:rPr>
                <w:sz w:val="22"/>
              </w:rPr>
              <w:t>.02.2026</w:t>
            </w:r>
          </w:p>
          <w:p>
            <w:pPr>
              <w:pStyle w:val="Normal"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Оценка и сопоставление заявок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z w:val="22"/>
              </w:rPr>
              <w:t>.02.2026</w:t>
            </w:r>
          </w:p>
          <w:p>
            <w:pPr>
              <w:pStyle w:val="Normal"/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Подведение итогов закупки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>10</w:t>
            </w:r>
            <w:r>
              <w:rPr>
                <w:sz w:val="22"/>
              </w:rPr>
              <w:t>.02.2026</w:t>
            </w:r>
          </w:p>
          <w:p>
            <w:pPr>
              <w:pStyle w:val="Normal"/>
              <w:widowControl/>
              <w:jc w:val="both"/>
              <w:rPr>
                <w:i/>
                <w:i/>
                <w:color w:val="FF0000"/>
                <w:sz w:val="22"/>
              </w:rPr>
            </w:pPr>
            <w:r>
              <w:rPr>
                <w:sz w:val="22"/>
              </w:rPr>
              <w:t>Заказчик вправе рассмотреть заявки, оценить и сопоставить заявки, подвести итоги Закупки, ранее дат, указанных в настоящем пункте документации.</w:t>
            </w:r>
          </w:p>
        </w:tc>
      </w:tr>
      <w:tr>
        <w:trPr>
          <w:trHeight w:val="1997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Default1"/>
              <w:rPr>
                <w:b/>
                <w:bCs/>
              </w:rPr>
            </w:pPr>
            <w:bookmarkStart w:id="2" w:name="форма9"/>
            <w:r>
              <w:rPr>
                <w:b/>
                <w:sz w:val="22"/>
                <w:szCs w:val="22"/>
              </w:rPr>
              <w:t>Дата и время окончания срока предоставления участникам закупки разъяснений положений документации о закупке</w:t>
            </w:r>
            <w:bookmarkEnd w:id="2"/>
          </w:p>
        </w:tc>
        <w:tc>
          <w:tcPr>
            <w:tcW w:w="8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b/>
                <w:bCs/>
                <w:i w:val="false"/>
                <w:i w:val="false"/>
                <w:iC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</w:rPr>
              <w:t>Дата начала срока предоставления участникам разъяснений положений документации о закупке:</w:t>
            </w:r>
            <w:r>
              <w:rPr>
                <w:b/>
                <w:bCs/>
                <w:i w:val="false"/>
                <w:iCs w:val="false"/>
                <w:color w:val="000000"/>
                <w:sz w:val="22"/>
              </w:rPr>
              <w:t xml:space="preserve"> 30.01.2026</w:t>
            </w:r>
          </w:p>
          <w:p>
            <w:pPr>
              <w:pStyle w:val="Normal"/>
              <w:widowControl/>
              <w:jc w:val="both"/>
              <w:rPr>
                <w:b/>
                <w:bCs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/>
              <w:jc w:val="both"/>
              <w:rPr>
                <w:b/>
                <w:bCs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/>
              <w:jc w:val="both"/>
              <w:rPr>
                <w:b/>
                <w:bCs/>
                <w:i w:val="false"/>
                <w:i w:val="false"/>
                <w:iC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Дата и время окончания срока предоставления участникам разъяснений положений документации о закупке: 0</w:t>
            </w: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.02.2026 08:00 (время московское)</w:t>
            </w:r>
          </w:p>
        </w:tc>
      </w:tr>
      <w:tr>
        <w:trPr>
          <w:trHeight w:val="1997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Default1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Возможность снизить участником закупки заявленную им цену</w:t>
            </w:r>
          </w:p>
        </w:tc>
        <w:tc>
          <w:tcPr>
            <w:tcW w:w="8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Предусмотрено в срок до 12:00 0</w:t>
            </w:r>
            <w:r>
              <w:rPr>
                <w:b w:val="false"/>
                <w:bCs w:val="false"/>
                <w:sz w:val="22"/>
                <w:szCs w:val="22"/>
              </w:rPr>
              <w:t>9</w:t>
            </w:r>
            <w:r>
              <w:rPr>
                <w:b w:val="false"/>
                <w:bCs w:val="false"/>
                <w:sz w:val="22"/>
                <w:szCs w:val="22"/>
              </w:rPr>
              <w:t xml:space="preserve">.02.2026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XO Thame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enforcement="0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77b9"/>
    <w:pPr>
      <w:widowControl/>
      <w:bidi w:val="0"/>
      <w:spacing w:before="0" w:after="0"/>
      <w:ind w:hanging="0"/>
      <w:jc w:val="star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be6f25"/>
    <w:pPr>
      <w:keepNext w:val="true"/>
      <w:keepLines/>
      <w:spacing w:before="480" w:after="0"/>
      <w:ind w:firstLine="709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e6f25"/>
    <w:pPr>
      <w:keepNext w:val="true"/>
      <w:keepLines/>
      <w:spacing w:before="200" w:after="0"/>
      <w:ind w:firstLine="709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be6f25"/>
    <w:pPr>
      <w:keepNext w:val="true"/>
      <w:keepLines/>
      <w:spacing w:before="200" w:after="0"/>
      <w:ind w:firstLine="709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2"/>
      <w:lang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e6f25"/>
    <w:pPr>
      <w:keepNext w:val="true"/>
      <w:keepLines/>
      <w:spacing w:before="200" w:after="0"/>
      <w:ind w:firstLine="709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6"/>
      <w:szCs w:val="22"/>
      <w:lang w:eastAsia="en-US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be6f25"/>
    <w:pPr>
      <w:keepNext w:val="true"/>
      <w:ind w:firstLine="709"/>
      <w:jc w:val="both"/>
      <w:outlineLvl w:val="4"/>
    </w:pPr>
    <w:rPr>
      <w:b/>
      <w:i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7"/>
    <w:qFormat/>
    <w:rsid w:val="00be6f25"/>
    <w:pPr>
      <w:tabs>
        <w:tab w:val="clear" w:pos="708"/>
        <w:tab w:val="left" w:pos="3469" w:leader="none"/>
      </w:tabs>
      <w:spacing w:before="240" w:after="60"/>
      <w:ind w:hanging="1296" w:start="3469"/>
      <w:jc w:val="both"/>
      <w:outlineLvl w:val="6"/>
    </w:pPr>
    <w:rPr>
      <w:sz w:val="26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styleId="7" w:customStyle="1">
    <w:name w:val="Заголовок 7 Знак"/>
    <w:basedOn w:val="DefaultParagraphFont"/>
    <w:qFormat/>
    <w:rsid w:val="00be6f25"/>
    <w:rPr>
      <w:rFonts w:eastAsia="Times New Roman"/>
      <w:lang w:eastAsia="ru-RU"/>
    </w:rPr>
  </w:style>
  <w:style w:type="character" w:styleId="Hyperlink">
    <w:name w:val="Hyperlink"/>
    <w:uiPriority w:val="99"/>
    <w:unhideWhenUsed/>
    <w:rsid w:val="00d377b9"/>
    <w:rPr>
      <w:color w:val="0000FF"/>
      <w:u w:val="single"/>
    </w:rPr>
  </w:style>
  <w:style w:type="character" w:styleId="Style8" w:customStyle="1">
    <w:name w:val="Верхний колонтитул Знак"/>
    <w:basedOn w:val="DefaultParagraphFont"/>
    <w:uiPriority w:val="99"/>
    <w:semiHidden/>
    <w:qFormat/>
    <w:rsid w:val="00d377b9"/>
    <w:rPr>
      <w:rFonts w:eastAsia="Times New Roman"/>
      <w:sz w:val="24"/>
      <w:szCs w:val="24"/>
      <w:lang w:eastAsia="ru-RU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a0120d"/>
    <w:rPr>
      <w:rFonts w:eastAsia="Times New Roman"/>
      <w:sz w:val="20"/>
      <w:szCs w:val="20"/>
      <w:lang w:eastAsia="ru-RU"/>
    </w:rPr>
  </w:style>
  <w:style w:type="character" w:styleId="Style10">
    <w:name w:val="Символ сноски"/>
    <w:basedOn w:val="DefaultParagraphFont"/>
    <w:uiPriority w:val="99"/>
    <w:semiHidden/>
    <w:unhideWhenUsed/>
    <w:qFormat/>
    <w:rsid w:val="00a012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Основной текст Знак"/>
    <w:basedOn w:val="DefaultParagraphFont"/>
    <w:uiPriority w:val="99"/>
    <w:qFormat/>
    <w:rsid w:val="00a0120d"/>
    <w:rPr>
      <w:rFonts w:eastAsia="Times New Roman"/>
      <w:sz w:val="24"/>
      <w:szCs w:val="24"/>
      <w:lang w:eastAsia="ru-RU"/>
    </w:rPr>
  </w:style>
  <w:style w:type="character" w:styleId="Default" w:customStyle="1">
    <w:name w:val="Default Знак"/>
    <w:link w:val="Default1"/>
    <w:qFormat/>
    <w:rsid w:val="00c53281"/>
    <w:rPr>
      <w:rFonts w:eastAsia="Calibri"/>
      <w:color w:val="000000"/>
      <w:sz w:val="24"/>
      <w:szCs w:val="24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c5f66"/>
    <w:rPr>
      <w:rFonts w:ascii="Segoe UI" w:hAnsi="Segoe UI" w:eastAsia="Times New Roman" w:cs="Segoe UI"/>
      <w:sz w:val="18"/>
      <w:szCs w:val="1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uiPriority w:val="99"/>
    <w:unhideWhenUsed/>
    <w:rsid w:val="00a0120d"/>
    <w:pPr>
      <w:suppressAutoHyphens w:val="true"/>
      <w:jc w:val="both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Times12" w:customStyle="1">
    <w:name w:val="Times 12"/>
    <w:basedOn w:val="Normal"/>
    <w:uiPriority w:val="99"/>
    <w:qFormat/>
    <w:rsid w:val="00be6f25"/>
    <w:pPr>
      <w:overflowPunct w:val="true"/>
      <w:ind w:firstLine="567"/>
      <w:jc w:val="both"/>
    </w:pPr>
    <w:rPr>
      <w:bCs/>
      <w:sz w:val="2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e6f25"/>
    <w:pPr>
      <w:spacing w:before="0" w:after="0"/>
      <w:ind w:firstLine="709" w:start="720"/>
      <w:contextualSpacing/>
      <w:jc w:val="both"/>
    </w:pPr>
    <w:rPr>
      <w:sz w:val="26"/>
      <w:szCs w:val="22"/>
      <w:lang w:eastAsia="en-US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6f25"/>
    <w:pPr>
      <w:spacing w:lineRule="auto" w:line="276"/>
      <w:outlineLvl w:val="9"/>
    </w:pPr>
    <w:rPr/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semiHidden/>
    <w:unhideWhenUsed/>
    <w:rsid w:val="00d377b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1" w:customStyle="1">
    <w:name w:val="Default"/>
    <w:link w:val="Default"/>
    <w:qFormat/>
    <w:rsid w:val="00d377b9"/>
    <w:pPr>
      <w:widowControl/>
      <w:bidi w:val="0"/>
      <w:spacing w:before="0" w:after="0"/>
      <w:ind w:hanging="0"/>
      <w:jc w:val="star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en-US" w:bidi="ar-SA"/>
    </w:rPr>
  </w:style>
  <w:style w:type="paragraph" w:styleId="FootnoteText">
    <w:name w:val="footnote text"/>
    <w:basedOn w:val="Normal"/>
    <w:link w:val="Style9"/>
    <w:uiPriority w:val="99"/>
    <w:semiHidden/>
    <w:unhideWhenUsed/>
    <w:rsid w:val="00a0120d"/>
    <w:pPr/>
    <w:rPr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c5f66"/>
    <w:pPr/>
    <w:rPr>
      <w:rFonts w:ascii="Segoe UI" w:hAnsi="Segoe UI" w:cs="Segoe UI"/>
      <w:sz w:val="18"/>
      <w:szCs w:val="18"/>
    </w:rPr>
  </w:style>
  <w:style w:type="paragraph" w:styleId="rvps9" w:customStyle="1">
    <w:name w:val="rvps9"/>
    <w:basedOn w:val="Normal"/>
    <w:qFormat/>
    <w:rsid w:val="0046619f"/>
    <w:pPr>
      <w:jc w:val="both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53281"/>
    <w:pPr>
      <w:jc w:val="left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n.tumanov@volga.r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428EA41B5F43B4AA4297CB8990A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366B1-1204-4452-9FB6-099D332BF948}"/>
      </w:docPartPr>
      <w:docPartBody>
        <w:p w:rsidR="00AE3BCE" w:rsidRDefault="009161F5" w:rsidP="009161F5">
          <w:pPr>
            <w:pStyle w:val="56428EA41B5F43B4AA4297CB8990A84A"/>
          </w:pPr>
          <w:r w:rsidRPr="00CF72D7">
            <w:rPr>
              <w:rStyle w:val="a3"/>
            </w:rPr>
            <w:t>Место для ввода даты.</w:t>
          </w:r>
        </w:p>
      </w:docPartBody>
    </w:docPart>
    <w:docPart>
      <w:docPartPr>
        <w:name w:val="2B7CD5CFF13941DFA90A5F24D3F6A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9880E-319F-44CF-ACEB-4FC2E1B3C024}"/>
      </w:docPartPr>
      <w:docPartBody>
        <w:p w:rsidR="00AE3BCE" w:rsidRDefault="009161F5" w:rsidP="009161F5">
          <w:pPr>
            <w:pStyle w:val="2B7CD5CFF13941DFA90A5F24D3F6A630"/>
          </w:pPr>
          <w:r w:rsidRPr="00CF72D7">
            <w:rPr>
              <w:rStyle w:val="a3"/>
            </w:rPr>
            <w:t>Место для ввода даты.</w:t>
          </w:r>
        </w:p>
      </w:docPartBody>
    </w:docPart>
    <w:docPart>
      <w:docPartPr>
        <w:name w:val="BE49A84C14B6414789A69E3E208CE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9DAFD-FFFE-4FED-B3E1-4110E467D354}"/>
      </w:docPartPr>
      <w:docPartBody>
        <w:p w:rsidR="00AE3BCE" w:rsidRDefault="009161F5" w:rsidP="009161F5">
          <w:pPr>
            <w:pStyle w:val="BE49A84C14B6414789A69E3E208CEC47"/>
          </w:pPr>
          <w:r w:rsidRPr="00CF72D7">
            <w:rPr>
              <w:rStyle w:val="a3"/>
            </w:rPr>
            <w:t>Место для ввода даты.</w:t>
          </w:r>
        </w:p>
      </w:docPartBody>
    </w:docPart>
    <w:docPart>
      <w:docPartPr>
        <w:name w:val="77DC9AF35805464E8E794DE5665DA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73435-FCF7-46F1-9C40-46CD863DA2BA}"/>
      </w:docPartPr>
      <w:docPartBody>
        <w:p w:rsidR="003B081D" w:rsidRDefault="00CC5FA4" w:rsidP="00CC5FA4">
          <w:pPr>
            <w:pStyle w:val="77DC9AF35805464E8E794DE5665DA9F6"/>
          </w:pPr>
          <w:r w:rsidRPr="00CF72D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B6"/>
    <w:rsid w:val="001B1E3B"/>
    <w:rsid w:val="002825B6"/>
    <w:rsid w:val="003B081D"/>
    <w:rsid w:val="009161F5"/>
    <w:rsid w:val="00AE3BCE"/>
    <w:rsid w:val="00CC5FA4"/>
    <w:rsid w:val="00F0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5FA4"/>
    <w:rPr>
      <w:color w:val="808080"/>
    </w:rPr>
  </w:style>
  <w:style w:type="paragraph" w:customStyle="1" w:styleId="2246E30D329A47EFB627FF2C21A56B38">
    <w:name w:val="2246E30D329A47EFB627FF2C21A56B38"/>
    <w:rsid w:val="002825B6"/>
  </w:style>
  <w:style w:type="paragraph" w:customStyle="1" w:styleId="45458875AA884642BB702749AECEBBD2">
    <w:name w:val="45458875AA884642BB702749AECEBBD2"/>
    <w:rsid w:val="002825B6"/>
  </w:style>
  <w:style w:type="paragraph" w:customStyle="1" w:styleId="88856B1BFD62477CBE86DE11AD2DB03E">
    <w:name w:val="88856B1BFD62477CBE86DE11AD2DB03E"/>
    <w:rsid w:val="002825B6"/>
  </w:style>
  <w:style w:type="paragraph" w:customStyle="1" w:styleId="8D7A1DA79DED4A338BA100993A2FF6D7">
    <w:name w:val="8D7A1DA79DED4A338BA100993A2FF6D7"/>
    <w:rsid w:val="002825B6"/>
  </w:style>
  <w:style w:type="paragraph" w:customStyle="1" w:styleId="436FAB954B8D43839656DE079134453E">
    <w:name w:val="436FAB954B8D43839656DE079134453E"/>
    <w:rsid w:val="00F0001C"/>
  </w:style>
  <w:style w:type="paragraph" w:customStyle="1" w:styleId="340FE7050C21453E8474D5F808401062">
    <w:name w:val="340FE7050C21453E8474D5F808401062"/>
    <w:rsid w:val="00F0001C"/>
  </w:style>
  <w:style w:type="paragraph" w:customStyle="1" w:styleId="769500FC0630471CB5BC3E784EF98004">
    <w:name w:val="769500FC0630471CB5BC3E784EF98004"/>
    <w:rsid w:val="00F0001C"/>
  </w:style>
  <w:style w:type="paragraph" w:customStyle="1" w:styleId="D63F0C89E41C4DE1B0595F374B0D4D38">
    <w:name w:val="D63F0C89E41C4DE1B0595F374B0D4D38"/>
    <w:rsid w:val="00F0001C"/>
  </w:style>
  <w:style w:type="paragraph" w:customStyle="1" w:styleId="C24280266EFA44A29F960839B6E0E56B">
    <w:name w:val="C24280266EFA44A29F960839B6E0E56B"/>
    <w:rsid w:val="00F0001C"/>
  </w:style>
  <w:style w:type="paragraph" w:customStyle="1" w:styleId="EC68FAAC4EA14207B7D8D496B7584DA9">
    <w:name w:val="EC68FAAC4EA14207B7D8D496B7584DA9"/>
    <w:rsid w:val="00F0001C"/>
  </w:style>
  <w:style w:type="paragraph" w:customStyle="1" w:styleId="56428EA41B5F43B4AA4297CB8990A84A">
    <w:name w:val="56428EA41B5F43B4AA4297CB8990A84A"/>
    <w:rsid w:val="009161F5"/>
  </w:style>
  <w:style w:type="paragraph" w:customStyle="1" w:styleId="2B7CD5CFF13941DFA90A5F24D3F6A630">
    <w:name w:val="2B7CD5CFF13941DFA90A5F24D3F6A630"/>
    <w:rsid w:val="009161F5"/>
  </w:style>
  <w:style w:type="paragraph" w:customStyle="1" w:styleId="C5C23AC7530C4D148FD9B46246E34E73">
    <w:name w:val="C5C23AC7530C4D148FD9B46246E34E73"/>
    <w:rsid w:val="009161F5"/>
  </w:style>
  <w:style w:type="paragraph" w:customStyle="1" w:styleId="BE49A84C14B6414789A69E3E208CEC47">
    <w:name w:val="BE49A84C14B6414789A69E3E208CEC47"/>
    <w:rsid w:val="009161F5"/>
  </w:style>
  <w:style w:type="paragraph" w:customStyle="1" w:styleId="77DC9AF35805464E8E794DE5665DA9F6">
    <w:name w:val="77DC9AF35805464E8E794DE5665DA9F6"/>
    <w:rsid w:val="00CC5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66806DD2CD824888E137CAA66E81B3" ma:contentTypeVersion="381" ma:contentTypeDescription="Создание документа." ma:contentTypeScope="" ma:versionID="68d41afe7b7699d17272b8d02757d4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635498357085337173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635498357085337173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635498357085337173</Data>
    <Filter/>
  </Receiver>
</spe:Receivers>
</file>

<file path=customXml/itemProps1.xml><?xml version="1.0" encoding="utf-8"?>
<ds:datastoreItem xmlns:ds="http://schemas.openxmlformats.org/officeDocument/2006/customXml" ds:itemID="{07F51AD8-5A9B-4C28-AA6A-A97139FF3F7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2644B1-58FF-472A-B1A7-927C5BFF8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ED1A7-3926-4129-A639-3799C5CAA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9D4F08-D61D-4449-B11C-FEA2E1CBC4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C49E3-7F76-4E5A-A015-5EC6E14CBE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LibreOffice/25.8.0.4$Linux_X86_64 LibreOffice_project/48f00303701489684e67c38c28aff00cd5929e67</Application>
  <AppVersion>15.0000</AppVersion>
  <Pages>2</Pages>
  <Words>453</Words>
  <Characters>3184</Characters>
  <CharactersWithSpaces>3645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2019-12-26T08:03:00Z</dcterms:created>
  <dc:creator>Смородина Людмила Васильевна</dc:creator>
  <dc:description/>
  <dc:language>ru-RU</dc:language>
  <cp:lastModifiedBy/>
  <cp:lastPrinted>2025-02-18T12:35:00Z</cp:lastPrinted>
  <dcterms:modified xsi:type="dcterms:W3CDTF">2026-02-04T17:56:52Z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0x0101008566806DD2CD824888E137CAA66E81B3</vt:lpwstr>
  </property>
</Properties>
</file>